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F4CBB">
      <w:pPr>
        <w:pageBreakBefore w:val="0"/>
        <w:numPr>
          <w:ilvl w:val="0"/>
          <w:numId w:val="0"/>
        </w:numPr>
        <w:tabs>
          <w:tab w:val="left" w:pos="1440"/>
        </w:tabs>
        <w:kinsoku/>
        <w:wordWrap/>
        <w:overflowPunct/>
        <w:topLinePunct w:val="0"/>
        <w:autoSpaceDE/>
        <w:autoSpaceDN/>
        <w:bidi w:val="0"/>
        <w:adjustRightInd/>
        <w:snapToGrid/>
        <w:spacing w:before="0" w:after="0" w:line="240" w:lineRule="auto"/>
        <w:ind w:firstLine="0"/>
        <w:jc w:val="left"/>
        <w:textAlignment w:val="auto"/>
        <w:outlineLvl w:val="9"/>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  </w:t>
      </w:r>
    </w:p>
    <w:p w14:paraId="28C4F864">
      <w:pPr>
        <w:pageBreakBefore w:val="0"/>
        <w:numPr>
          <w:ilvl w:val="0"/>
          <w:numId w:val="0"/>
        </w:numPr>
        <w:tabs>
          <w:tab w:val="left" w:pos="1440"/>
        </w:tabs>
        <w:kinsoku/>
        <w:wordWrap/>
        <w:overflowPunct/>
        <w:topLinePunct w:val="0"/>
        <w:autoSpaceDE/>
        <w:autoSpaceDN/>
        <w:bidi w:val="0"/>
        <w:adjustRightInd/>
        <w:snapToGrid/>
        <w:spacing w:before="0" w:after="0" w:line="240" w:lineRule="auto"/>
        <w:ind w:firstLine="0"/>
        <w:jc w:val="left"/>
        <w:textAlignment w:val="auto"/>
        <w:outlineLvl w:val="9"/>
        <w:rPr>
          <w:rFonts w:hint="eastAsia" w:ascii="宋体" w:hAnsi="宋体" w:eastAsia="宋体" w:cs="宋体"/>
          <w:sz w:val="24"/>
          <w:szCs w:val="24"/>
          <w:highlight w:val="none"/>
          <w:lang w:eastAsia="zh-CN"/>
        </w:rPr>
      </w:pPr>
    </w:p>
    <w:p w14:paraId="519DACC8">
      <w:pPr>
        <w:pageBreakBefore w:val="0"/>
        <w:numPr>
          <w:ilvl w:val="0"/>
          <w:numId w:val="0"/>
        </w:numPr>
        <w:tabs>
          <w:tab w:val="left" w:pos="1440"/>
        </w:tabs>
        <w:kinsoku/>
        <w:wordWrap/>
        <w:overflowPunct/>
        <w:topLinePunct w:val="0"/>
        <w:autoSpaceDE/>
        <w:autoSpaceDN/>
        <w:bidi w:val="0"/>
        <w:adjustRightInd/>
        <w:snapToGrid/>
        <w:spacing w:before="0" w:after="0" w:line="240" w:lineRule="auto"/>
        <w:ind w:firstLine="0"/>
        <w:jc w:val="center"/>
        <w:textAlignment w:val="auto"/>
        <w:outlineLvl w:val="9"/>
        <w:rPr>
          <w:rFonts w:hint="eastAsia" w:ascii="黑体" w:hAnsi="黑体" w:eastAsia="黑体" w:cs="黑体"/>
          <w:b w:val="0"/>
          <w:bCs w:val="0"/>
          <w:sz w:val="48"/>
          <w:szCs w:val="48"/>
          <w:highlight w:val="none"/>
          <w:lang w:eastAsia="zh-CN"/>
        </w:rPr>
      </w:pPr>
    </w:p>
    <w:p w14:paraId="63F134B2">
      <w:pPr>
        <w:pageBreakBefore w:val="0"/>
        <w:kinsoku/>
        <w:wordWrap/>
        <w:overflowPunct/>
        <w:topLinePunct w:val="0"/>
        <w:autoSpaceDE/>
        <w:autoSpaceDN/>
        <w:bidi w:val="0"/>
        <w:adjustRightInd/>
        <w:snapToGrid/>
        <w:spacing w:line="240" w:lineRule="auto"/>
        <w:ind w:firstLine="0"/>
        <w:jc w:val="center"/>
        <w:textAlignment w:val="auto"/>
        <w:outlineLvl w:val="9"/>
        <w:rPr>
          <w:rFonts w:hint="eastAsia" w:ascii="宋体" w:hAnsi="宋体" w:cs="宋体"/>
          <w:b/>
          <w:bCs/>
          <w:color w:val="000000"/>
          <w:sz w:val="36"/>
          <w:szCs w:val="36"/>
          <w:highlight w:val="none"/>
          <w:u w:val="single"/>
          <w:lang w:val="en-US" w:eastAsia="zh-CN"/>
        </w:rPr>
      </w:pPr>
      <w:r>
        <w:rPr>
          <w:rFonts w:hint="eastAsia" w:ascii="宋体" w:hAnsi="宋体" w:cs="宋体"/>
          <w:b/>
          <w:bCs/>
          <w:color w:val="000000"/>
          <w:sz w:val="36"/>
          <w:szCs w:val="36"/>
          <w:highlight w:val="none"/>
          <w:u w:val="single"/>
          <w:lang w:val="en-US" w:eastAsia="zh-CN"/>
        </w:rPr>
        <w:t>开化县城市有机更新共同富裕建设项目安置地（一）基础</w:t>
      </w:r>
    </w:p>
    <w:p w14:paraId="37C3A20F">
      <w:pPr>
        <w:pageBreakBefore w:val="0"/>
        <w:kinsoku/>
        <w:wordWrap/>
        <w:overflowPunct/>
        <w:topLinePunct w:val="0"/>
        <w:autoSpaceDE/>
        <w:autoSpaceDN/>
        <w:bidi w:val="0"/>
        <w:adjustRightInd/>
        <w:snapToGrid/>
        <w:spacing w:line="240" w:lineRule="auto"/>
        <w:ind w:firstLine="0"/>
        <w:jc w:val="center"/>
        <w:textAlignment w:val="auto"/>
        <w:outlineLvl w:val="9"/>
        <w:rPr>
          <w:rFonts w:hint="eastAsia" w:ascii="宋体" w:hAnsi="宋体" w:eastAsia="宋体" w:cs="宋体"/>
          <w:b/>
          <w:sz w:val="24"/>
          <w:szCs w:val="24"/>
          <w:highlight w:val="none"/>
        </w:rPr>
      </w:pPr>
      <w:r>
        <w:rPr>
          <w:rFonts w:hint="eastAsia" w:ascii="宋体" w:hAnsi="宋体" w:cs="宋体"/>
          <w:b/>
          <w:bCs/>
          <w:color w:val="000000"/>
          <w:sz w:val="36"/>
          <w:szCs w:val="36"/>
          <w:highlight w:val="none"/>
          <w:u w:val="single"/>
          <w:lang w:val="en-US" w:eastAsia="zh-CN"/>
        </w:rPr>
        <w:t>及室外附属设施配套工程—高压配电工程总承包（EPC）</w:t>
      </w:r>
    </w:p>
    <w:p w14:paraId="509C054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74B1CC57">
      <w:pPr>
        <w:pStyle w:val="13"/>
        <w:numPr>
          <w:ilvl w:val="0"/>
          <w:numId w:val="0"/>
        </w:numPr>
        <w:ind w:left="420" w:leftChars="0"/>
        <w:rPr>
          <w:rFonts w:hint="eastAsia"/>
          <w:lang w:eastAsia="zh-CN"/>
        </w:rPr>
      </w:pPr>
    </w:p>
    <w:p w14:paraId="5D7C675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68A392C4">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outlineLvl w:val="9"/>
        <w:rPr>
          <w:rFonts w:hint="eastAsia" w:ascii="宋体" w:hAnsi="宋体" w:eastAsia="宋体" w:cs="宋体"/>
          <w:b w:val="0"/>
          <w:bCs/>
          <w:sz w:val="24"/>
          <w:szCs w:val="24"/>
          <w:highlight w:val="none"/>
          <w:lang w:eastAsia="zh-CN"/>
        </w:rPr>
      </w:pPr>
      <w:r>
        <w:rPr>
          <w:rFonts w:hint="eastAsia" w:ascii="黑体" w:hAnsi="黑体" w:eastAsia="黑体" w:cs="黑体"/>
          <w:b w:val="0"/>
          <w:bCs w:val="0"/>
          <w:color w:val="000000"/>
          <w:sz w:val="30"/>
          <w:szCs w:val="28"/>
          <w:highlight w:val="none"/>
        </w:rPr>
        <w:t>（</w:t>
      </w:r>
      <w:r>
        <w:rPr>
          <w:rFonts w:hint="eastAsia" w:ascii="黑体" w:hAnsi="黑体" w:eastAsia="黑体" w:cs="黑体"/>
          <w:b w:val="0"/>
          <w:bCs w:val="0"/>
          <w:color w:val="000000"/>
          <w:sz w:val="30"/>
          <w:szCs w:val="28"/>
          <w:highlight w:val="none"/>
          <w:lang w:val="en-US" w:eastAsia="zh-CN"/>
        </w:rPr>
        <w:t>招标</w:t>
      </w:r>
      <w:r>
        <w:rPr>
          <w:rFonts w:hint="eastAsia" w:ascii="黑体" w:hAnsi="黑体" w:eastAsia="黑体" w:cs="黑体"/>
          <w:b w:val="0"/>
          <w:bCs w:val="0"/>
          <w:color w:val="000000"/>
          <w:sz w:val="30"/>
          <w:szCs w:val="28"/>
          <w:highlight w:val="none"/>
        </w:rPr>
        <w:t>编号：</w:t>
      </w:r>
      <w:r>
        <w:rPr>
          <w:rFonts w:hint="eastAsia" w:ascii="黑体" w:hAnsi="黑体" w:eastAsia="黑体" w:cs="黑体"/>
          <w:b w:val="0"/>
          <w:bCs w:val="0"/>
          <w:color w:val="000000"/>
          <w:sz w:val="30"/>
          <w:szCs w:val="28"/>
          <w:highlight w:val="none"/>
          <w:lang w:val="en-US" w:eastAsia="zh-CN"/>
        </w:rPr>
        <w:t>ZJZJKH2024-65</w:t>
      </w:r>
      <w:r>
        <w:rPr>
          <w:rFonts w:hint="eastAsia" w:ascii="黑体" w:hAnsi="黑体" w:eastAsia="黑体" w:cs="黑体"/>
          <w:b w:val="0"/>
          <w:bCs w:val="0"/>
          <w:color w:val="000000"/>
          <w:sz w:val="30"/>
          <w:szCs w:val="28"/>
          <w:highlight w:val="none"/>
        </w:rPr>
        <w:t>）</w:t>
      </w:r>
    </w:p>
    <w:p w14:paraId="22A85DC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3078EB8F">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312D1B57">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42FBF27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42B716B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299B780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3FAE1045">
      <w:pPr>
        <w:pStyle w:val="10"/>
        <w:shd w:val="clear" w:color="auto" w:fill="auto"/>
        <w:kinsoku w:val="0"/>
        <w:ind w:left="0"/>
        <w:rPr>
          <w:color w:val="auto"/>
          <w:sz w:val="20"/>
          <w:szCs w:val="20"/>
          <w:highlight w:val="none"/>
          <w:shd w:val="clear" w:color="auto" w:fill="auto"/>
        </w:rPr>
      </w:pPr>
    </w:p>
    <w:p w14:paraId="441FC34D">
      <w:pPr>
        <w:pStyle w:val="10"/>
        <w:shd w:val="clear" w:color="auto" w:fill="auto"/>
        <w:kinsoku w:val="0"/>
        <w:spacing w:before="106"/>
        <w:ind w:left="3" w:right="4"/>
        <w:jc w:val="center"/>
        <w:rPr>
          <w:rFonts w:hint="eastAsia"/>
          <w:color w:val="auto"/>
          <w:sz w:val="44"/>
          <w:szCs w:val="44"/>
          <w:highlight w:val="none"/>
          <w:shd w:val="clear" w:color="auto" w:fill="auto"/>
        </w:rPr>
      </w:pPr>
      <w:r>
        <w:rPr>
          <w:rFonts w:hint="eastAsia"/>
          <w:color w:val="auto"/>
          <w:sz w:val="44"/>
          <w:szCs w:val="44"/>
          <w:highlight w:val="none"/>
          <w:shd w:val="clear" w:color="auto" w:fill="auto"/>
        </w:rPr>
        <w:t>招标文件</w:t>
      </w:r>
    </w:p>
    <w:p w14:paraId="777453C0">
      <w:pPr>
        <w:pStyle w:val="10"/>
        <w:shd w:val="clear" w:color="auto" w:fill="auto"/>
        <w:kinsoku w:val="0"/>
        <w:spacing w:before="106"/>
        <w:ind w:left="3" w:right="4"/>
        <w:jc w:val="center"/>
        <w:rPr>
          <w:rFonts w:hint="eastAsia"/>
          <w:color w:val="auto"/>
          <w:sz w:val="44"/>
          <w:szCs w:val="44"/>
          <w:highlight w:val="none"/>
          <w:shd w:val="clear" w:color="auto" w:fill="auto"/>
          <w:lang w:val="en-US" w:eastAsia="zh-CN"/>
        </w:rPr>
      </w:pPr>
      <w:r>
        <w:rPr>
          <w:rFonts w:hint="eastAsia"/>
          <w:color w:val="auto"/>
          <w:sz w:val="44"/>
          <w:szCs w:val="44"/>
          <w:highlight w:val="none"/>
          <w:shd w:val="clear" w:color="auto" w:fill="auto"/>
          <w:lang w:val="en-US" w:eastAsia="zh-CN"/>
        </w:rPr>
        <w:t>（☑公开招标□邀请招标）</w:t>
      </w:r>
    </w:p>
    <w:p w14:paraId="6B5D7732">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outlineLvl w:val="9"/>
        <w:rPr>
          <w:rFonts w:hint="eastAsia" w:ascii="黑体" w:hAnsi="黑体" w:eastAsia="黑体" w:cs="黑体"/>
          <w:b w:val="0"/>
          <w:bCs w:val="0"/>
          <w:color w:val="000000"/>
          <w:sz w:val="30"/>
          <w:szCs w:val="28"/>
          <w:highlight w:val="none"/>
        </w:rPr>
      </w:pPr>
    </w:p>
    <w:p w14:paraId="53741254">
      <w:pPr>
        <w:pageBreakBefore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sz w:val="24"/>
          <w:szCs w:val="24"/>
          <w:highlight w:val="none"/>
        </w:rPr>
      </w:pPr>
    </w:p>
    <w:p w14:paraId="5A19253E">
      <w:pPr>
        <w:pageBreakBefore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sz w:val="24"/>
          <w:szCs w:val="24"/>
          <w:highlight w:val="none"/>
        </w:rPr>
      </w:pPr>
    </w:p>
    <w:p w14:paraId="659333F4">
      <w:pPr>
        <w:pageBreakBefore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sz w:val="24"/>
          <w:szCs w:val="24"/>
          <w:highlight w:val="none"/>
        </w:rPr>
      </w:pPr>
    </w:p>
    <w:p w14:paraId="74512922">
      <w:pPr>
        <w:pageBreakBefore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sz w:val="24"/>
          <w:szCs w:val="24"/>
          <w:highlight w:val="none"/>
        </w:rPr>
      </w:pPr>
    </w:p>
    <w:p w14:paraId="02E649E6">
      <w:pPr>
        <w:pageBreakBefore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sz w:val="24"/>
          <w:szCs w:val="24"/>
          <w:highlight w:val="none"/>
        </w:rPr>
      </w:pPr>
    </w:p>
    <w:p w14:paraId="01095F0D">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59AAFED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77730F54">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 </w:t>
      </w:r>
    </w:p>
    <w:p w14:paraId="4EC396D6">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outlineLvl w:val="9"/>
        <w:rPr>
          <w:rFonts w:hint="eastAsia" w:ascii="宋体" w:hAnsi="宋体" w:eastAsia="宋体" w:cs="宋体"/>
          <w:b w:val="0"/>
          <w:bCs/>
          <w:sz w:val="24"/>
          <w:szCs w:val="24"/>
          <w:highlight w:val="none"/>
          <w:lang w:eastAsia="zh-CN"/>
        </w:rPr>
      </w:pPr>
    </w:p>
    <w:p w14:paraId="5A689C1B">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1"/>
          <w:sz w:val="32"/>
          <w:szCs w:val="32"/>
          <w:highlight w:val="none"/>
        </w:rPr>
      </w:pP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招</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标</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人</w:t>
      </w:r>
      <w:r>
        <w:rPr>
          <w:rFonts w:hint="eastAsia" w:ascii="宋体" w:hAnsi="宋体" w:eastAsia="宋体" w:cs="宋体"/>
          <w:color w:val="auto"/>
          <w:kern w:val="21"/>
          <w:sz w:val="32"/>
          <w:szCs w:val="32"/>
          <w:highlight w:val="none"/>
          <w:lang w:val="en-US" w:eastAsia="zh-CN" w:bidi="ar-SA"/>
        </w:rPr>
        <w:t>：</w:t>
      </w:r>
      <w:r>
        <w:rPr>
          <w:rFonts w:hint="eastAsia" w:ascii="宋体" w:hAnsi="宋体" w:cs="宋体"/>
          <w:color w:val="auto"/>
          <w:kern w:val="21"/>
          <w:sz w:val="32"/>
          <w:szCs w:val="32"/>
          <w:highlight w:val="none"/>
          <w:u w:val="single"/>
          <w:lang w:val="en-US" w:eastAsia="zh-CN" w:bidi="ar-SA"/>
        </w:rPr>
        <w:t xml:space="preserve">开化县城镇有机更新有限公司       </w:t>
      </w:r>
      <w:r>
        <w:rPr>
          <w:rFonts w:hint="eastAsia" w:ascii="宋体" w:hAnsi="宋体" w:cs="宋体"/>
          <w:color w:val="auto"/>
          <w:kern w:val="21"/>
          <w:sz w:val="32"/>
          <w:szCs w:val="32"/>
          <w:highlight w:val="none"/>
          <w:u w:val="none"/>
          <w:lang w:val="en-US" w:eastAsia="zh-CN" w:bidi="ar-SA"/>
        </w:rPr>
        <w:t xml:space="preserve"> </w:t>
      </w:r>
      <w:r>
        <w:rPr>
          <w:rFonts w:hint="eastAsia" w:ascii="宋体" w:hAnsi="宋体" w:eastAsia="宋体" w:cs="宋体"/>
          <w:color w:val="auto"/>
          <w:kern w:val="21"/>
          <w:sz w:val="32"/>
          <w:szCs w:val="32"/>
          <w:highlight w:val="none"/>
        </w:rPr>
        <w:t>（盖单位章）</w:t>
      </w:r>
    </w:p>
    <w:p w14:paraId="2D4448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21"/>
          <w:sz w:val="32"/>
          <w:szCs w:val="32"/>
          <w:highlight w:val="none"/>
        </w:rPr>
      </w:pPr>
      <w:r>
        <w:rPr>
          <w:rFonts w:hint="eastAsia" w:ascii="宋体" w:hAnsi="宋体" w:cs="宋体"/>
          <w:b w:val="0"/>
          <w:bCs w:val="0"/>
          <w:color w:val="000000"/>
          <w:sz w:val="32"/>
          <w:szCs w:val="32"/>
          <w:highlight w:val="none"/>
          <w:lang w:val="en-US" w:eastAsia="zh-CN"/>
        </w:rPr>
        <w:t xml:space="preserve">   </w:t>
      </w:r>
      <w:r>
        <w:rPr>
          <w:rFonts w:hint="eastAsia" w:ascii="宋体" w:hAnsi="宋体" w:eastAsia="宋体" w:cs="宋体"/>
          <w:b w:val="0"/>
          <w:bCs w:val="0"/>
          <w:color w:val="000000"/>
          <w:sz w:val="32"/>
          <w:szCs w:val="32"/>
          <w:highlight w:val="none"/>
        </w:rPr>
        <w:t>招标代理</w:t>
      </w:r>
      <w:r>
        <w:rPr>
          <w:rFonts w:hint="eastAsia" w:ascii="宋体" w:hAnsi="宋体" w:eastAsia="宋体" w:cs="宋体"/>
          <w:color w:val="auto"/>
          <w:kern w:val="21"/>
          <w:sz w:val="32"/>
          <w:szCs w:val="32"/>
          <w:highlight w:val="none"/>
        </w:rPr>
        <w:t>：</w:t>
      </w:r>
      <w:r>
        <w:rPr>
          <w:rFonts w:hint="eastAsia" w:ascii="宋体" w:hAnsi="宋体" w:eastAsia="宋体" w:cs="宋体"/>
          <w:color w:val="auto"/>
          <w:kern w:val="21"/>
          <w:sz w:val="32"/>
          <w:szCs w:val="32"/>
          <w:highlight w:val="none"/>
          <w:u w:val="single"/>
          <w:lang w:val="en-US" w:eastAsia="zh-CN" w:bidi="ar-SA"/>
        </w:rPr>
        <w:t>浙江中际工程</w:t>
      </w:r>
      <w:r>
        <w:rPr>
          <w:rFonts w:hint="eastAsia" w:ascii="宋体" w:hAnsi="宋体" w:cs="宋体"/>
          <w:color w:val="auto"/>
          <w:kern w:val="21"/>
          <w:sz w:val="32"/>
          <w:szCs w:val="32"/>
          <w:highlight w:val="none"/>
          <w:u w:val="single"/>
          <w:lang w:val="en-US" w:eastAsia="zh-CN" w:bidi="ar-SA"/>
        </w:rPr>
        <w:t>项目</w:t>
      </w:r>
      <w:r>
        <w:rPr>
          <w:rFonts w:hint="eastAsia" w:ascii="宋体" w:hAnsi="宋体" w:eastAsia="宋体" w:cs="宋体"/>
          <w:color w:val="auto"/>
          <w:kern w:val="21"/>
          <w:sz w:val="32"/>
          <w:szCs w:val="32"/>
          <w:highlight w:val="none"/>
          <w:u w:val="single"/>
          <w:lang w:val="en-US" w:eastAsia="zh-CN" w:bidi="ar-SA"/>
        </w:rPr>
        <w:t xml:space="preserve">管理有限公司 </w:t>
      </w:r>
      <w:r>
        <w:rPr>
          <w:rFonts w:hint="eastAsia" w:ascii="宋体" w:hAnsi="宋体" w:cs="宋体"/>
          <w:color w:val="auto"/>
          <w:kern w:val="21"/>
          <w:sz w:val="32"/>
          <w:szCs w:val="32"/>
          <w:highlight w:val="none"/>
          <w:u w:val="single"/>
          <w:lang w:val="en-US" w:eastAsia="zh-CN" w:bidi="ar-SA"/>
        </w:rPr>
        <w:t xml:space="preserve">        </w:t>
      </w:r>
      <w:r>
        <w:rPr>
          <w:rFonts w:hint="eastAsia" w:ascii="宋体" w:hAnsi="宋体" w:eastAsia="宋体" w:cs="宋体"/>
          <w:color w:val="auto"/>
          <w:kern w:val="21"/>
          <w:sz w:val="32"/>
          <w:szCs w:val="32"/>
          <w:highlight w:val="none"/>
        </w:rPr>
        <w:t>（盖单位章）</w:t>
      </w:r>
    </w:p>
    <w:p w14:paraId="279A8F5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二○二</w:t>
      </w:r>
      <w:r>
        <w:rPr>
          <w:rFonts w:hint="eastAsia" w:ascii="宋体" w:hAnsi="宋体" w:eastAsia="宋体" w:cs="宋体"/>
          <w:b w:val="0"/>
          <w:bCs w:val="0"/>
          <w:color w:val="auto"/>
          <w:sz w:val="32"/>
          <w:szCs w:val="32"/>
          <w:highlight w:val="none"/>
          <w:lang w:eastAsia="zh-CN"/>
        </w:rPr>
        <w:t>四</w:t>
      </w:r>
      <w:r>
        <w:rPr>
          <w:rFonts w:hint="eastAsia" w:ascii="宋体" w:hAnsi="宋体" w:eastAsia="宋体" w:cs="宋体"/>
          <w:b w:val="0"/>
          <w:bCs w:val="0"/>
          <w:color w:val="auto"/>
          <w:sz w:val="32"/>
          <w:szCs w:val="32"/>
          <w:highlight w:val="none"/>
        </w:rPr>
        <w:t>年</w:t>
      </w:r>
      <w:r>
        <w:rPr>
          <w:rFonts w:hint="eastAsia" w:ascii="宋体" w:hAnsi="宋体" w:cs="宋体"/>
          <w:b w:val="0"/>
          <w:bCs w:val="0"/>
          <w:color w:val="auto"/>
          <w:sz w:val="32"/>
          <w:szCs w:val="32"/>
          <w:highlight w:val="none"/>
          <w:lang w:val="en-US" w:eastAsia="zh-CN"/>
        </w:rPr>
        <w:t>九</w:t>
      </w:r>
      <w:r>
        <w:rPr>
          <w:rFonts w:hint="eastAsia" w:ascii="宋体" w:hAnsi="宋体" w:eastAsia="宋体" w:cs="宋体"/>
          <w:b w:val="0"/>
          <w:bCs w:val="0"/>
          <w:color w:val="auto"/>
          <w:sz w:val="32"/>
          <w:szCs w:val="32"/>
          <w:highlight w:val="none"/>
        </w:rPr>
        <w:t>月</w:t>
      </w:r>
    </w:p>
    <w:p w14:paraId="2B0DEEDD">
      <w:pPr>
        <w:rPr>
          <w:rFonts w:hint="eastAsia" w:ascii="宋体" w:hAnsi="宋体"/>
          <w:b/>
          <w:sz w:val="44"/>
          <w:szCs w:val="44"/>
          <w:highlight w:val="none"/>
        </w:rPr>
      </w:pPr>
      <w:r>
        <w:rPr>
          <w:rFonts w:hint="eastAsia" w:ascii="宋体" w:hAnsi="宋体"/>
          <w:b/>
          <w:sz w:val="44"/>
          <w:szCs w:val="44"/>
          <w:highlight w:val="none"/>
        </w:rPr>
        <w:br w:type="page"/>
      </w:r>
    </w:p>
    <w:p w14:paraId="30791E8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szCs w:val="21"/>
          <w:highlight w:val="none"/>
        </w:rPr>
      </w:pPr>
      <w:r>
        <w:rPr>
          <w:rFonts w:hint="eastAsia" w:ascii="宋体" w:hAnsi="宋体"/>
          <w:b/>
          <w:sz w:val="44"/>
          <w:szCs w:val="44"/>
          <w:highlight w:val="none"/>
        </w:rPr>
        <w:t>目</w:t>
      </w:r>
      <w:r>
        <w:rPr>
          <w:rFonts w:hint="eastAsia" w:ascii="宋体" w:hAnsi="宋体"/>
          <w:b/>
          <w:sz w:val="44"/>
          <w:szCs w:val="44"/>
          <w:highlight w:val="none"/>
          <w:lang w:val="en-US" w:eastAsia="zh-CN"/>
        </w:rPr>
        <w:t xml:space="preserve">  </w:t>
      </w:r>
      <w:r>
        <w:rPr>
          <w:rFonts w:hint="eastAsia" w:ascii="宋体" w:hAnsi="宋体"/>
          <w:b/>
          <w:sz w:val="44"/>
          <w:szCs w:val="44"/>
          <w:highlight w:val="none"/>
        </w:rPr>
        <w:t>录</w:t>
      </w:r>
    </w:p>
    <w:p w14:paraId="4A050CBD">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p>
    <w:p w14:paraId="0A8174F8">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color w:val="auto"/>
          <w:sz w:val="24"/>
          <w:szCs w:val="24"/>
          <w:highlight w:val="none"/>
          <w:shd w:val="clear" w:color="auto" w:fill="auto"/>
        </w:rPr>
        <w:instrText xml:space="preserve"> HYPERLINK \l _Toc22261 </w:instrText>
      </w:r>
      <w:r>
        <w:rPr>
          <w:rFonts w:hint="eastAsia" w:ascii="宋体" w:hAnsi="宋体" w:eastAsia="宋体" w:cs="宋体"/>
          <w:bCs/>
          <w:color w:val="auto"/>
          <w:sz w:val="24"/>
          <w:szCs w:val="24"/>
          <w:highlight w:val="none"/>
          <w:shd w:val="clear" w:color="auto" w:fill="auto"/>
        </w:rPr>
        <w:fldChar w:fldCharType="separate"/>
      </w:r>
      <w:r>
        <w:rPr>
          <w:rFonts w:hint="eastAsia" w:ascii="宋体" w:hAnsi="宋体" w:eastAsia="宋体" w:cs="宋体"/>
          <w:bCs/>
          <w:color w:val="auto"/>
          <w:sz w:val="24"/>
          <w:szCs w:val="24"/>
          <w:highlight w:val="none"/>
          <w:shd w:val="clear" w:color="auto" w:fill="auto"/>
        </w:rPr>
        <w:t>第一章 招标公告</w:t>
      </w:r>
      <w:r>
        <w:rPr>
          <w:rFonts w:hint="eastAsia" w:ascii="宋体" w:hAnsi="宋体" w:eastAsia="宋体" w:cs="宋体"/>
          <w:bCs/>
          <w:color w:val="auto"/>
          <w:sz w:val="24"/>
          <w:szCs w:val="24"/>
          <w:highlight w:val="none"/>
          <w:shd w:val="clear" w:color="auto" w:fill="auto"/>
        </w:rPr>
        <w:tab/>
      </w:r>
      <w:r>
        <w:rPr>
          <w:rFonts w:hint="eastAsia" w:ascii="宋体" w:hAnsi="宋体" w:eastAsia="宋体" w:cs="宋体"/>
          <w:bCs/>
          <w:color w:val="auto"/>
          <w:sz w:val="24"/>
          <w:szCs w:val="24"/>
          <w:highlight w:val="none"/>
          <w:shd w:val="clear" w:color="auto" w:fill="auto"/>
          <w:lang w:val="en-US" w:eastAsia="zh-CN"/>
        </w:rPr>
        <w:t>3</w:t>
      </w:r>
      <w:r>
        <w:rPr>
          <w:rFonts w:hint="eastAsia" w:ascii="宋体" w:hAnsi="宋体" w:eastAsia="宋体" w:cs="宋体"/>
          <w:bCs/>
          <w:color w:val="auto"/>
          <w:sz w:val="24"/>
          <w:szCs w:val="24"/>
          <w:highlight w:val="none"/>
          <w:shd w:val="clear" w:color="auto" w:fill="auto"/>
        </w:rPr>
        <w:fldChar w:fldCharType="end"/>
      </w:r>
    </w:p>
    <w:p w14:paraId="7BA81F80">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_Toc5577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8</w:t>
      </w:r>
      <w:r>
        <w:rPr>
          <w:rFonts w:hint="eastAsia" w:ascii="宋体" w:hAnsi="宋体" w:eastAsia="宋体" w:cs="宋体"/>
          <w:bCs/>
          <w:color w:val="auto"/>
          <w:sz w:val="24"/>
          <w:szCs w:val="24"/>
          <w:highlight w:val="none"/>
          <w:shd w:val="clear" w:color="auto" w:fill="auto"/>
        </w:rPr>
        <w:fldChar w:fldCharType="end"/>
      </w:r>
    </w:p>
    <w:p w14:paraId="1745048B">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_Toc22939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kern w:val="44"/>
          <w:sz w:val="24"/>
          <w:szCs w:val="24"/>
          <w:highlight w:val="none"/>
          <w:shd w:val="clear" w:color="auto" w:fill="auto"/>
          <w:lang w:val="en-US" w:eastAsia="zh-CN"/>
        </w:rPr>
        <w:t>第三章 评标定标办法</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3</w:t>
      </w:r>
      <w:r>
        <w:rPr>
          <w:rFonts w:hint="eastAsia" w:ascii="宋体" w:hAnsi="宋体" w:eastAsia="宋体" w:cs="宋体"/>
          <w:bCs/>
          <w:color w:val="auto"/>
          <w:sz w:val="24"/>
          <w:szCs w:val="24"/>
          <w:highlight w:val="none"/>
          <w:shd w:val="clear" w:color="auto" w:fill="auto"/>
        </w:rPr>
        <w:fldChar w:fldCharType="end"/>
      </w:r>
      <w:r>
        <w:rPr>
          <w:rFonts w:hint="eastAsia" w:ascii="宋体" w:hAnsi="宋体" w:eastAsia="宋体" w:cs="宋体"/>
          <w:bCs/>
          <w:color w:val="auto"/>
          <w:sz w:val="24"/>
          <w:szCs w:val="24"/>
          <w:highlight w:val="none"/>
          <w:shd w:val="clear" w:color="auto" w:fill="auto"/>
          <w:lang w:val="en-US" w:eastAsia="zh-CN"/>
        </w:rPr>
        <w:t>6</w:t>
      </w:r>
    </w:p>
    <w:p w14:paraId="7E426C03">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_Toc18406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第四章 合同条款及格式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4</w:t>
      </w:r>
      <w:r>
        <w:rPr>
          <w:rFonts w:hint="eastAsia" w:ascii="宋体" w:hAnsi="宋体" w:eastAsia="宋体" w:cs="宋体"/>
          <w:bCs/>
          <w:color w:val="auto"/>
          <w:sz w:val="24"/>
          <w:szCs w:val="24"/>
          <w:highlight w:val="none"/>
          <w:shd w:val="clear" w:color="auto" w:fill="auto"/>
        </w:rPr>
        <w:fldChar w:fldCharType="end"/>
      </w:r>
      <w:r>
        <w:rPr>
          <w:rFonts w:hint="eastAsia" w:ascii="宋体" w:hAnsi="宋体" w:eastAsia="宋体" w:cs="宋体"/>
          <w:bCs/>
          <w:color w:val="auto"/>
          <w:sz w:val="24"/>
          <w:szCs w:val="24"/>
          <w:highlight w:val="none"/>
          <w:shd w:val="clear" w:color="auto" w:fill="auto"/>
          <w:lang w:val="en-US" w:eastAsia="zh-CN"/>
        </w:rPr>
        <w:t>4</w:t>
      </w:r>
    </w:p>
    <w:p w14:paraId="534C41DB">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_Toc153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bCs w:val="0"/>
          <w:sz w:val="24"/>
          <w:szCs w:val="24"/>
          <w:highlight w:val="none"/>
          <w:shd w:val="clear" w:color="auto" w:fill="auto"/>
        </w:rPr>
        <w:t xml:space="preserve">第五章 </w:t>
      </w:r>
      <w:r>
        <w:rPr>
          <w:rFonts w:hint="eastAsia" w:ascii="宋体" w:hAnsi="宋体" w:eastAsia="宋体" w:cs="宋体"/>
          <w:bCs w:val="0"/>
          <w:sz w:val="24"/>
          <w:szCs w:val="24"/>
          <w:highlight w:val="none"/>
          <w:shd w:val="clear" w:color="auto" w:fill="auto"/>
          <w:lang w:eastAsia="zh-CN"/>
        </w:rPr>
        <w:t>发包人要求</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7</w:t>
      </w:r>
      <w:r>
        <w:rPr>
          <w:rFonts w:hint="eastAsia" w:ascii="宋体" w:hAnsi="宋体" w:eastAsia="宋体" w:cs="宋体"/>
          <w:bCs/>
          <w:color w:val="auto"/>
          <w:sz w:val="24"/>
          <w:szCs w:val="24"/>
          <w:highlight w:val="none"/>
          <w:shd w:val="clear" w:color="auto" w:fill="auto"/>
        </w:rPr>
        <w:fldChar w:fldCharType="end"/>
      </w:r>
      <w:r>
        <w:rPr>
          <w:rFonts w:hint="eastAsia" w:ascii="宋体" w:hAnsi="宋体" w:eastAsia="宋体" w:cs="宋体"/>
          <w:bCs/>
          <w:color w:val="auto"/>
          <w:sz w:val="24"/>
          <w:szCs w:val="24"/>
          <w:highlight w:val="none"/>
          <w:shd w:val="clear" w:color="auto" w:fill="auto"/>
          <w:lang w:val="en-US" w:eastAsia="zh-CN"/>
        </w:rPr>
        <w:t>8</w:t>
      </w:r>
    </w:p>
    <w:p w14:paraId="2A1013B2">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default" w:ascii="宋体" w:hAnsi="宋体" w:eastAsia="宋体" w:cs="宋体"/>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_Toc29834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sz w:val="24"/>
          <w:szCs w:val="24"/>
          <w:highlight w:val="none"/>
          <w:shd w:val="clear" w:color="auto" w:fill="auto"/>
        </w:rPr>
        <w:t xml:space="preserve">第六章 </w:t>
      </w:r>
      <w:r>
        <w:rPr>
          <w:rFonts w:hint="eastAsia" w:ascii="宋体" w:hAnsi="宋体" w:eastAsia="宋体" w:cs="宋体"/>
          <w:sz w:val="24"/>
          <w:szCs w:val="24"/>
          <w:highlight w:val="none"/>
          <w:shd w:val="clear" w:color="auto" w:fill="auto"/>
          <w:lang w:eastAsia="zh-CN"/>
        </w:rPr>
        <w:t>工程量清单</w:t>
      </w:r>
      <w:r>
        <w:rPr>
          <w:rFonts w:hint="eastAsia" w:ascii="宋体" w:hAnsi="宋体" w:eastAsia="宋体" w:cs="宋体"/>
          <w:sz w:val="24"/>
          <w:szCs w:val="24"/>
          <w:highlight w:val="none"/>
        </w:rPr>
        <w:tab/>
      </w:r>
      <w:r>
        <w:rPr>
          <w:rFonts w:hint="eastAsia" w:ascii="宋体" w:hAnsi="宋体" w:eastAsia="宋体" w:cs="宋体"/>
          <w:bCs/>
          <w:color w:val="auto"/>
          <w:sz w:val="24"/>
          <w:szCs w:val="24"/>
          <w:highlight w:val="none"/>
          <w:shd w:val="clear" w:color="auto" w:fill="auto"/>
          <w:lang w:val="en-US" w:eastAsia="zh-CN"/>
        </w:rPr>
        <w:t>81</w:t>
      </w:r>
    </w:p>
    <w:p w14:paraId="424DAC53">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eastAsia="zh-CN"/>
        </w:rPr>
        <w:t>第七章</w:t>
      </w:r>
      <w:r>
        <w:rPr>
          <w:rFonts w:hint="eastAsia" w:ascii="宋体" w:hAnsi="宋体" w:eastAsia="宋体" w:cs="宋体"/>
          <w:sz w:val="24"/>
          <w:szCs w:val="24"/>
          <w:highlight w:val="none"/>
          <w:shd w:val="clear" w:color="auto" w:fill="auto"/>
          <w:lang w:val="en-US" w:eastAsia="zh-CN"/>
        </w:rPr>
        <w:t xml:space="preserve"> </w:t>
      </w:r>
      <w:r>
        <w:rPr>
          <w:rFonts w:hint="eastAsia" w:ascii="宋体" w:hAnsi="宋体" w:eastAsia="宋体" w:cs="宋体"/>
          <w:sz w:val="24"/>
          <w:szCs w:val="24"/>
          <w:highlight w:val="none"/>
          <w:shd w:val="clear" w:color="auto" w:fill="auto"/>
          <w:lang w:eastAsia="zh-CN"/>
        </w:rPr>
        <w:t>发包人提供的资料</w:t>
      </w:r>
      <w:r>
        <w:rPr>
          <w:rFonts w:hint="eastAsia" w:ascii="宋体" w:hAnsi="宋体" w:eastAsia="宋体" w:cs="宋体"/>
          <w:sz w:val="24"/>
          <w:szCs w:val="24"/>
          <w:highlight w:val="none"/>
        </w:rPr>
        <w:tab/>
      </w:r>
      <w:r>
        <w:rPr>
          <w:rFonts w:hint="eastAsia" w:ascii="宋体" w:hAnsi="宋体" w:eastAsia="宋体" w:cs="宋体"/>
          <w:bCs/>
          <w:color w:val="auto"/>
          <w:sz w:val="24"/>
          <w:szCs w:val="24"/>
          <w:highlight w:val="none"/>
          <w:shd w:val="clear" w:color="auto" w:fill="auto"/>
        </w:rPr>
        <w:fldChar w:fldCharType="end"/>
      </w:r>
      <w:r>
        <w:rPr>
          <w:rFonts w:hint="eastAsia" w:ascii="宋体" w:hAnsi="宋体" w:eastAsia="宋体" w:cs="宋体"/>
          <w:bCs/>
          <w:color w:val="auto"/>
          <w:sz w:val="24"/>
          <w:szCs w:val="24"/>
          <w:highlight w:val="none"/>
          <w:shd w:val="clear" w:color="auto" w:fill="auto"/>
          <w:lang w:val="en-US" w:eastAsia="zh-CN"/>
        </w:rPr>
        <w:t>82</w:t>
      </w:r>
    </w:p>
    <w:p w14:paraId="5FC6AA52">
      <w:pPr>
        <w:pStyle w:val="20"/>
        <w:keepNext w:val="0"/>
        <w:keepLines w:val="0"/>
        <w:pageBreakBefore w:val="0"/>
        <w:widowControl/>
        <w:tabs>
          <w:tab w:val="right" w:leader="dot" w:pos="8900"/>
        </w:tabs>
        <w:kinsoku/>
        <w:wordWrap/>
        <w:overflowPunct/>
        <w:topLinePunct w:val="0"/>
        <w:autoSpaceDE/>
        <w:autoSpaceDN/>
        <w:bidi w:val="0"/>
        <w:adjustRightInd/>
        <w:snapToGrid/>
        <w:spacing w:after="0" w:line="500" w:lineRule="exact"/>
        <w:ind w:firstLine="480" w:firstLineChars="200"/>
        <w:textAlignment w:val="auto"/>
        <w:rPr>
          <w:rFonts w:hint="eastAsia" w:eastAsia="宋体"/>
          <w:sz w:val="24"/>
          <w:szCs w:val="24"/>
          <w:highlight w:val="none"/>
          <w:lang w:val="en-US" w:eastAsia="zh-CN"/>
        </w:rPr>
      </w:pPr>
      <w:r>
        <w:rPr>
          <w:rFonts w:hint="eastAsia" w:ascii="宋体" w:hAnsi="宋体" w:eastAsia="宋体" w:cs="宋体"/>
          <w:bCs/>
          <w:color w:val="auto"/>
          <w:sz w:val="24"/>
          <w:szCs w:val="24"/>
          <w:highlight w:val="none"/>
          <w:shd w:val="clear" w:color="auto" w:fill="auto"/>
        </w:rPr>
        <w:fldChar w:fldCharType="begin"/>
      </w:r>
      <w:r>
        <w:rPr>
          <w:rFonts w:hint="eastAsia" w:ascii="宋体" w:hAnsi="宋体" w:eastAsia="宋体" w:cs="宋体"/>
          <w:bCs/>
          <w:sz w:val="24"/>
          <w:szCs w:val="24"/>
          <w:highlight w:val="none"/>
          <w:shd w:val="clear" w:color="auto" w:fill="auto"/>
        </w:rPr>
        <w:instrText xml:space="preserve"> HYPERLINK \l _Toc9788 </w:instrText>
      </w:r>
      <w:r>
        <w:rPr>
          <w:rFonts w:hint="eastAsia" w:ascii="宋体" w:hAnsi="宋体" w:eastAsia="宋体" w:cs="宋体"/>
          <w:bCs/>
          <w:sz w:val="24"/>
          <w:szCs w:val="24"/>
          <w:highlight w:val="none"/>
          <w:shd w:val="clear" w:color="auto" w:fill="auto"/>
        </w:rPr>
        <w:fldChar w:fldCharType="separate"/>
      </w:r>
      <w:r>
        <w:rPr>
          <w:rFonts w:hint="eastAsia" w:ascii="宋体" w:hAnsi="宋体" w:eastAsia="宋体" w:cs="宋体"/>
          <w:bCs/>
          <w:kern w:val="44"/>
          <w:sz w:val="24"/>
          <w:szCs w:val="24"/>
          <w:highlight w:val="none"/>
          <w:shd w:val="clear" w:color="auto" w:fill="auto"/>
        </w:rPr>
        <w:t>第</w:t>
      </w:r>
      <w:r>
        <w:rPr>
          <w:rFonts w:hint="eastAsia" w:ascii="宋体" w:hAnsi="宋体" w:eastAsia="宋体" w:cs="宋体"/>
          <w:bCs/>
          <w:kern w:val="44"/>
          <w:sz w:val="24"/>
          <w:szCs w:val="24"/>
          <w:highlight w:val="none"/>
          <w:shd w:val="clear" w:color="auto" w:fill="auto"/>
          <w:lang w:eastAsia="zh-CN"/>
        </w:rPr>
        <w:t>八</w:t>
      </w:r>
      <w:r>
        <w:rPr>
          <w:rFonts w:hint="eastAsia" w:ascii="宋体" w:hAnsi="宋体" w:eastAsia="宋体" w:cs="宋体"/>
          <w:bCs/>
          <w:kern w:val="44"/>
          <w:sz w:val="24"/>
          <w:szCs w:val="24"/>
          <w:highlight w:val="none"/>
          <w:shd w:val="clear" w:color="auto" w:fill="auto"/>
        </w:rPr>
        <w:t xml:space="preserve">章 </w:t>
      </w:r>
      <w:r>
        <w:rPr>
          <w:rFonts w:hint="eastAsia" w:ascii="宋体" w:hAnsi="宋体" w:eastAsia="宋体" w:cs="宋体"/>
          <w:bCs/>
          <w:kern w:val="44"/>
          <w:sz w:val="24"/>
          <w:szCs w:val="24"/>
          <w:highlight w:val="none"/>
          <w:shd w:val="clear" w:color="auto" w:fill="auto"/>
          <w:lang w:eastAsia="zh-CN"/>
        </w:rPr>
        <w:t>投标文件格式</w:t>
      </w:r>
      <w:r>
        <w:rPr>
          <w:rFonts w:hint="eastAsia" w:ascii="宋体" w:hAnsi="宋体" w:eastAsia="宋体" w:cs="宋体"/>
          <w:sz w:val="24"/>
          <w:szCs w:val="24"/>
          <w:highlight w:val="none"/>
        </w:rPr>
        <w:tab/>
      </w:r>
      <w:r>
        <w:rPr>
          <w:rFonts w:hint="eastAsia" w:ascii="宋体" w:hAnsi="宋体" w:eastAsia="宋体" w:cs="宋体"/>
          <w:bCs/>
          <w:color w:val="auto"/>
          <w:sz w:val="24"/>
          <w:szCs w:val="24"/>
          <w:highlight w:val="none"/>
          <w:shd w:val="clear" w:color="auto" w:fill="auto"/>
        </w:rPr>
        <w:fldChar w:fldCharType="end"/>
      </w:r>
      <w:r>
        <w:rPr>
          <w:rFonts w:hint="eastAsia" w:ascii="宋体" w:hAnsi="宋体" w:eastAsia="宋体" w:cs="宋体"/>
          <w:bCs/>
          <w:color w:val="auto"/>
          <w:sz w:val="24"/>
          <w:szCs w:val="24"/>
          <w:highlight w:val="none"/>
          <w:shd w:val="clear" w:color="auto" w:fill="auto"/>
          <w:lang w:val="en-US" w:eastAsia="zh-CN"/>
        </w:rPr>
        <w:t>8</w:t>
      </w:r>
      <w:r>
        <w:rPr>
          <w:rFonts w:hint="eastAsia" w:ascii="宋体" w:hAnsi="宋体" w:eastAsia="宋体" w:cs="宋体"/>
          <w:b/>
          <w:bCs/>
          <w:color w:val="auto"/>
          <w:sz w:val="24"/>
          <w:szCs w:val="24"/>
          <w:highlight w:val="none"/>
          <w:lang w:val="zh-CN"/>
        </w:rPr>
        <w:fldChar w:fldCharType="end"/>
      </w:r>
      <w:r>
        <w:rPr>
          <w:rFonts w:hint="eastAsia" w:ascii="宋体" w:hAnsi="宋体" w:eastAsia="宋体" w:cs="宋体"/>
          <w:bCs/>
          <w:color w:val="auto"/>
          <w:sz w:val="24"/>
          <w:szCs w:val="24"/>
          <w:highlight w:val="none"/>
          <w:shd w:val="clear" w:color="auto" w:fill="auto"/>
          <w:lang w:val="en-US" w:eastAsia="zh-CN"/>
        </w:rPr>
        <w:t>3</w:t>
      </w:r>
    </w:p>
    <w:p w14:paraId="3501E58E">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027FB9C1">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7F813FD6">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4A926696">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3EAEBBC4">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4D3AC4B9">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52DC45A7">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21854C89">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13FFC777">
      <w:pPr>
        <w:keepNext w:val="0"/>
        <w:keepLines w:val="0"/>
        <w:pageBreakBefore w:val="0"/>
        <w:widowControl w:val="0"/>
        <w:kinsoku/>
        <w:wordWrap/>
        <w:overflowPunct/>
        <w:topLinePunct w:val="0"/>
        <w:autoSpaceDE/>
        <w:autoSpaceDN/>
        <w:bidi w:val="0"/>
        <w:adjustRightInd/>
        <w:snapToGrid/>
        <w:jc w:val="left"/>
        <w:textAlignment w:val="auto"/>
        <w:rPr>
          <w:rFonts w:hint="eastAsia"/>
          <w:szCs w:val="21"/>
          <w:highlight w:val="none"/>
          <w:lang w:eastAsia="zh-CN"/>
        </w:rPr>
      </w:pPr>
    </w:p>
    <w:p w14:paraId="58F6AF14">
      <w:pPr>
        <w:keepNext w:val="0"/>
        <w:keepLines w:val="0"/>
        <w:pageBreakBefore w:val="0"/>
        <w:widowControl w:val="0"/>
        <w:numPr>
          <w:ilvl w:val="0"/>
          <w:numId w:val="3"/>
        </w:numPr>
        <w:kinsoku/>
        <w:wordWrap/>
        <w:overflowPunct/>
        <w:topLinePunct w:val="0"/>
        <w:autoSpaceDE/>
        <w:autoSpaceDN/>
        <w:bidi w:val="0"/>
        <w:adjustRightInd/>
        <w:snapToGrid/>
        <w:jc w:val="center"/>
        <w:textAlignment w:val="auto"/>
        <w:rPr>
          <w:rFonts w:hint="eastAsia" w:ascii="黑体" w:eastAsia="黑体"/>
          <w:sz w:val="32"/>
          <w:szCs w:val="32"/>
          <w:highlight w:val="none"/>
        </w:rPr>
      </w:pPr>
      <w:r>
        <w:rPr>
          <w:szCs w:val="21"/>
          <w:highlight w:val="none"/>
        </w:rPr>
        <w:br w:type="page"/>
      </w:r>
      <w:r>
        <w:rPr>
          <w:rFonts w:hint="eastAsia" w:ascii="黑体" w:eastAsia="黑体"/>
          <w:sz w:val="32"/>
          <w:szCs w:val="32"/>
          <w:highlight w:val="none"/>
        </w:rPr>
        <w:t xml:space="preserve"> 招标公告</w:t>
      </w:r>
    </w:p>
    <w:p w14:paraId="2C7A80C5">
      <w:pPr>
        <w:pStyle w:val="57"/>
        <w:keepNext w:val="0"/>
        <w:keepLines w:val="0"/>
        <w:pageBreakBefore w:val="0"/>
        <w:widowControl/>
        <w:numPr>
          <w:ilvl w:val="0"/>
          <w:numId w:val="0"/>
        </w:numPr>
        <w:kinsoku/>
        <w:wordWrap/>
        <w:overflowPunct/>
        <w:topLinePunct w:val="0"/>
        <w:autoSpaceDE/>
        <w:autoSpaceDN/>
        <w:bidi w:val="0"/>
        <w:adjustRightInd/>
        <w:snapToGrid/>
        <w:spacing w:line="200" w:lineRule="exact"/>
        <w:textAlignment w:val="auto"/>
      </w:pPr>
    </w:p>
    <w:p w14:paraId="700B69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eastAsia="黑体"/>
          <w:sz w:val="28"/>
          <w:szCs w:val="28"/>
          <w:highlight w:val="none"/>
          <w:lang w:eastAsia="zh-CN"/>
        </w:rPr>
      </w:pPr>
      <w:r>
        <w:rPr>
          <w:rFonts w:hint="eastAsia" w:ascii="黑体" w:eastAsia="黑体"/>
          <w:sz w:val="28"/>
          <w:szCs w:val="28"/>
          <w:highlight w:val="none"/>
          <w:lang w:eastAsia="zh-CN"/>
        </w:rPr>
        <w:t>开化县城市有机更新共同富裕建设项目安置地（一）基础</w:t>
      </w:r>
    </w:p>
    <w:p w14:paraId="56E3C6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黑体" w:eastAsia="黑体"/>
          <w:sz w:val="28"/>
          <w:szCs w:val="28"/>
          <w:highlight w:val="none"/>
          <w:lang w:eastAsia="zh-CN"/>
        </w:rPr>
      </w:pPr>
      <w:r>
        <w:rPr>
          <w:rFonts w:hint="eastAsia" w:ascii="黑体" w:eastAsia="黑体"/>
          <w:sz w:val="28"/>
          <w:szCs w:val="28"/>
          <w:highlight w:val="none"/>
          <w:lang w:eastAsia="zh-CN"/>
        </w:rPr>
        <w:t>及室外附属设施配套工程—高压配电工程总承包（EPC）</w:t>
      </w:r>
    </w:p>
    <w:p w14:paraId="37CE31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30"/>
          <w:szCs w:val="30"/>
          <w:highlight w:val="none"/>
        </w:rPr>
      </w:pPr>
      <w:r>
        <w:rPr>
          <w:rFonts w:hint="eastAsia" w:ascii="黑体" w:eastAsia="黑体"/>
          <w:sz w:val="28"/>
          <w:szCs w:val="28"/>
          <w:highlight w:val="none"/>
        </w:rPr>
        <w:t>招标公告</w:t>
      </w:r>
    </w:p>
    <w:p w14:paraId="5561CEB4">
      <w:pPr>
        <w:keepNext w:val="0"/>
        <w:keepLines w:val="0"/>
        <w:pageBreakBefore w:val="0"/>
        <w:kinsoku/>
        <w:wordWrap/>
        <w:overflowPunct/>
        <w:topLinePunct w:val="0"/>
        <w:bidi w:val="0"/>
        <w:adjustRightInd/>
        <w:snapToGrid/>
        <w:spacing w:line="400" w:lineRule="exact"/>
        <w:textAlignment w:val="auto"/>
        <w:rPr>
          <w:rFonts w:hint="eastAsia" w:ascii="宋体" w:hAnsi="宋体" w:eastAsia="宋体" w:cs="宋体"/>
          <w:b/>
          <w:bCs/>
          <w:sz w:val="21"/>
          <w:szCs w:val="21"/>
          <w:highlight w:val="none"/>
        </w:rPr>
      </w:pPr>
    </w:p>
    <w:p w14:paraId="44415BF6">
      <w:pPr>
        <w:keepNext w:val="0"/>
        <w:keepLines w:val="0"/>
        <w:pageBreakBefore w:val="0"/>
        <w:kinsoku/>
        <w:wordWrap/>
        <w:overflowPunct/>
        <w:topLinePunct w:val="0"/>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1.招标条件</w:t>
      </w:r>
    </w:p>
    <w:p w14:paraId="301B79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0" w:beforeAutospacing="0" w:afterAutospacing="0" w:line="400" w:lineRule="exact"/>
        <w:ind w:left="0" w:right="0"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1.1</w:t>
      </w:r>
      <w:r>
        <w:rPr>
          <w:rFonts w:hint="eastAsia" w:ascii="宋体" w:hAnsi="宋体" w:eastAsia="宋体" w:cs="宋体"/>
          <w:i w:val="0"/>
          <w:iCs w:val="0"/>
          <w:color w:val="auto"/>
          <w:sz w:val="21"/>
          <w:szCs w:val="21"/>
          <w:highlight w:val="none"/>
          <w:u w:val="single"/>
          <w:lang w:val="en-US" w:eastAsia="zh-CN"/>
        </w:rPr>
        <w:t>开化县城市有机更新共同富裕建设项目安置地（一）基础及室外附属设施配套工程</w:t>
      </w:r>
      <w:r>
        <w:rPr>
          <w:rFonts w:hint="eastAsia" w:ascii="宋体" w:hAnsi="宋体" w:eastAsia="宋体" w:cs="宋体"/>
          <w:i w:val="0"/>
          <w:iCs w:val="0"/>
          <w:color w:val="auto"/>
          <w:sz w:val="21"/>
          <w:szCs w:val="21"/>
          <w:highlight w:val="none"/>
        </w:rPr>
        <w:t>已由</w:t>
      </w:r>
      <w:r>
        <w:rPr>
          <w:rFonts w:hint="eastAsia" w:ascii="宋体" w:hAnsi="宋体" w:eastAsia="宋体" w:cs="宋体"/>
          <w:i w:val="0"/>
          <w:iCs w:val="0"/>
          <w:color w:val="auto"/>
          <w:sz w:val="21"/>
          <w:szCs w:val="21"/>
          <w:highlight w:val="none"/>
          <w:lang w:eastAsia="zh-CN"/>
        </w:rPr>
        <w:t>开化县发展和改革局</w:t>
      </w:r>
      <w:r>
        <w:rPr>
          <w:rFonts w:hint="eastAsia" w:ascii="宋体" w:hAnsi="宋体" w:eastAsia="宋体" w:cs="宋体"/>
          <w:i w:val="0"/>
          <w:iCs w:val="0"/>
          <w:color w:val="auto"/>
          <w:spacing w:val="0"/>
          <w:szCs w:val="21"/>
          <w:highlight w:val="none"/>
          <w:u w:val="single"/>
          <w:shd w:val="clear" w:color="auto" w:fill="auto"/>
          <w:lang w:eastAsia="zh-CN"/>
        </w:rPr>
        <w:t>（</w:t>
      </w:r>
      <w:r>
        <w:rPr>
          <w:rFonts w:hint="eastAsia" w:ascii="宋体" w:hAnsi="宋体" w:eastAsia="宋体" w:cs="宋体"/>
          <w:i w:val="0"/>
          <w:iCs w:val="0"/>
          <w:color w:val="auto"/>
          <w:sz w:val="21"/>
          <w:szCs w:val="21"/>
          <w:highlight w:val="none"/>
          <w:u w:val="single"/>
          <w:lang w:val="en-US" w:eastAsia="zh-CN"/>
        </w:rPr>
        <w:t>开发改初设〔2024〕4号</w:t>
      </w:r>
      <w:r>
        <w:rPr>
          <w:rFonts w:hint="eastAsia" w:ascii="宋体" w:hAnsi="宋体" w:eastAsia="宋体" w:cs="宋体"/>
          <w:i w:val="0"/>
          <w:iCs w:val="0"/>
          <w:color w:val="auto"/>
          <w:spacing w:val="0"/>
          <w:szCs w:val="21"/>
          <w:highlight w:val="none"/>
          <w:u w:val="none"/>
          <w:shd w:val="clear" w:color="auto" w:fill="auto"/>
          <w:lang w:eastAsia="zh-CN"/>
        </w:rPr>
        <w:t>）</w:t>
      </w:r>
      <w:r>
        <w:rPr>
          <w:rFonts w:hint="eastAsia" w:ascii="宋体" w:hAnsi="宋体" w:eastAsia="宋体" w:cs="宋体"/>
          <w:i w:val="0"/>
          <w:iCs w:val="0"/>
          <w:color w:val="auto"/>
          <w:sz w:val="21"/>
          <w:szCs w:val="21"/>
          <w:highlight w:val="none"/>
        </w:rPr>
        <w:t>批准建设，建设资金来源</w:t>
      </w:r>
      <w:r>
        <w:rPr>
          <w:rFonts w:hint="eastAsia" w:ascii="宋体" w:hAnsi="宋体" w:cs="宋体"/>
          <w:i w:val="0"/>
          <w:iCs w:val="0"/>
          <w:color w:val="auto"/>
          <w:sz w:val="21"/>
          <w:szCs w:val="21"/>
          <w:highlight w:val="none"/>
          <w:u w:val="none"/>
          <w:lang w:val="en-US" w:eastAsia="zh-CN"/>
        </w:rPr>
        <w:t>为</w:t>
      </w:r>
      <w:r>
        <w:rPr>
          <w:rFonts w:hint="eastAsia" w:ascii="宋体" w:hAnsi="宋体" w:cs="宋体"/>
          <w:i w:val="0"/>
          <w:iCs w:val="0"/>
          <w:color w:val="auto"/>
          <w:sz w:val="21"/>
          <w:szCs w:val="21"/>
          <w:highlight w:val="none"/>
          <w:u w:val="single"/>
          <w:lang w:val="en-US" w:eastAsia="zh-CN"/>
        </w:rPr>
        <w:t>自筹</w:t>
      </w: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i w:val="0"/>
          <w:iCs w:val="0"/>
          <w:color w:val="auto"/>
          <w:spacing w:val="-12"/>
          <w:sz w:val="21"/>
          <w:szCs w:val="21"/>
          <w:highlight w:val="none"/>
        </w:rPr>
        <w:t>出资比例为</w:t>
      </w:r>
      <w:r>
        <w:rPr>
          <w:rFonts w:hint="eastAsia" w:ascii="宋体" w:hAnsi="宋体" w:cs="宋体"/>
          <w:i w:val="0"/>
          <w:iCs w:val="0"/>
          <w:color w:val="auto"/>
          <w:spacing w:val="-12"/>
          <w:sz w:val="21"/>
          <w:szCs w:val="21"/>
          <w:highlight w:val="none"/>
          <w:u w:val="single"/>
          <w:lang w:val="en-US" w:eastAsia="zh-CN"/>
        </w:rPr>
        <w:t xml:space="preserve">100 </w:t>
      </w:r>
      <w:r>
        <w:rPr>
          <w:rFonts w:hint="eastAsia" w:ascii="宋体" w:hAnsi="宋体" w:eastAsia="宋体" w:cs="宋体"/>
          <w:i w:val="0"/>
          <w:iCs w:val="0"/>
          <w:color w:val="auto"/>
          <w:spacing w:val="-12"/>
          <w:sz w:val="21"/>
          <w:szCs w:val="21"/>
          <w:highlight w:val="none"/>
          <w:lang w:val="en-US" w:eastAsia="zh-CN"/>
        </w:rPr>
        <w:t>%</w:t>
      </w:r>
      <w:r>
        <w:rPr>
          <w:rFonts w:hint="eastAsia" w:ascii="宋体" w:hAnsi="宋体" w:eastAsia="宋体" w:cs="宋体"/>
          <w:i w:val="0"/>
          <w:iCs w:val="0"/>
          <w:color w:val="auto"/>
          <w:spacing w:val="-12"/>
          <w:sz w:val="21"/>
          <w:szCs w:val="21"/>
          <w:highlight w:val="none"/>
        </w:rPr>
        <w:t xml:space="preserve"> ，项目业主为</w:t>
      </w:r>
      <w:r>
        <w:rPr>
          <w:rFonts w:hint="eastAsia" w:ascii="宋体" w:hAnsi="宋体" w:cs="宋体"/>
          <w:i w:val="0"/>
          <w:iCs w:val="0"/>
          <w:color w:val="auto"/>
          <w:sz w:val="21"/>
          <w:szCs w:val="21"/>
          <w:highlight w:val="none"/>
          <w:u w:val="single"/>
          <w:lang w:val="en-US" w:eastAsia="zh-CN"/>
        </w:rPr>
        <w:t>开化县城镇有机更新有限公司</w:t>
      </w:r>
      <w:r>
        <w:rPr>
          <w:rFonts w:hint="eastAsia" w:ascii="宋体" w:hAnsi="宋体" w:eastAsia="宋体" w:cs="宋体"/>
          <w:i w:val="0"/>
          <w:iCs w:val="0"/>
          <w:color w:val="auto"/>
          <w:spacing w:val="-12"/>
          <w:sz w:val="21"/>
          <w:szCs w:val="21"/>
          <w:highlight w:val="none"/>
        </w:rPr>
        <w:t>，</w:t>
      </w:r>
      <w:r>
        <w:rPr>
          <w:rFonts w:hint="eastAsia" w:ascii="宋体" w:hAnsi="宋体" w:eastAsia="宋体" w:cs="宋体"/>
          <w:i w:val="0"/>
          <w:iCs w:val="0"/>
          <w:color w:val="auto"/>
          <w:sz w:val="21"/>
          <w:szCs w:val="21"/>
          <w:highlight w:val="none"/>
        </w:rPr>
        <w:t>招标人为</w:t>
      </w:r>
      <w:r>
        <w:rPr>
          <w:rFonts w:hint="eastAsia" w:ascii="宋体" w:hAnsi="宋体" w:cs="宋体"/>
          <w:i w:val="0"/>
          <w:iCs w:val="0"/>
          <w:color w:val="auto"/>
          <w:sz w:val="21"/>
          <w:szCs w:val="21"/>
          <w:highlight w:val="none"/>
          <w:u w:val="single"/>
          <w:lang w:val="en-US" w:eastAsia="zh-CN"/>
        </w:rPr>
        <w:t>开化县城镇有机更新有限公司</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pacing w:val="-6"/>
          <w:sz w:val="21"/>
          <w:szCs w:val="21"/>
          <w:highlight w:val="none"/>
        </w:rPr>
        <w:t>委托代理机构为</w:t>
      </w:r>
      <w:r>
        <w:rPr>
          <w:rFonts w:hint="eastAsia" w:ascii="宋体" w:hAnsi="宋体" w:cs="宋体"/>
          <w:i w:val="0"/>
          <w:iCs w:val="0"/>
          <w:color w:val="auto"/>
          <w:spacing w:val="-6"/>
          <w:sz w:val="21"/>
          <w:szCs w:val="21"/>
          <w:highlight w:val="none"/>
          <w:u w:val="single"/>
          <w:lang w:eastAsia="zh-CN"/>
        </w:rPr>
        <w:t>浙江中际工程项目管理有限公司</w:t>
      </w:r>
      <w:r>
        <w:rPr>
          <w:rFonts w:hint="eastAsia" w:ascii="宋体" w:hAnsi="宋体" w:cs="宋体"/>
          <w:i w:val="0"/>
          <w:iCs w:val="0"/>
          <w:color w:val="auto"/>
          <w:spacing w:val="-6"/>
          <w:sz w:val="21"/>
          <w:szCs w:val="21"/>
          <w:highlight w:val="none"/>
          <w:u w:val="none"/>
          <w:lang w:eastAsia="zh-CN"/>
        </w:rPr>
        <w:t>，</w:t>
      </w:r>
      <w:r>
        <w:rPr>
          <w:rFonts w:hint="eastAsia" w:ascii="宋体" w:hAnsi="宋体" w:eastAsia="宋体" w:cs="宋体"/>
          <w:i w:val="0"/>
          <w:iCs w:val="0"/>
          <w:color w:val="auto"/>
          <w:highlight w:val="none"/>
        </w:rPr>
        <w:t>行政监督部门为</w:t>
      </w:r>
      <w:r>
        <w:rPr>
          <w:rFonts w:hint="eastAsia" w:ascii="宋体" w:hAnsi="宋体" w:eastAsia="宋体" w:cs="宋体"/>
          <w:i w:val="0"/>
          <w:iCs w:val="0"/>
          <w:color w:val="auto"/>
          <w:sz w:val="21"/>
          <w:szCs w:val="21"/>
          <w:highlight w:val="none"/>
          <w:u w:val="single"/>
          <w:lang w:val="en-US" w:eastAsia="zh-CN"/>
        </w:rPr>
        <w:t>开化县公共资源交易监督管理办公室</w:t>
      </w:r>
      <w:r>
        <w:rPr>
          <w:rFonts w:hint="eastAsia" w:ascii="宋体" w:hAnsi="宋体" w:eastAsia="宋体" w:cs="宋体"/>
          <w:i w:val="0"/>
          <w:iCs w:val="0"/>
          <w:color w:val="auto"/>
          <w:highlight w:val="none"/>
        </w:rPr>
        <w:t>。</w:t>
      </w:r>
      <w:r>
        <w:rPr>
          <w:rFonts w:hint="eastAsia" w:ascii="宋体" w:hAnsi="宋体" w:eastAsia="宋体" w:cs="宋体"/>
          <w:i w:val="0"/>
          <w:iCs w:val="0"/>
          <w:color w:val="auto"/>
          <w:sz w:val="21"/>
          <w:szCs w:val="21"/>
          <w:highlight w:val="none"/>
        </w:rPr>
        <w:t>项目已具备招标条件，现对该</w:t>
      </w:r>
      <w:r>
        <w:rPr>
          <w:rFonts w:hint="eastAsia" w:ascii="宋体" w:hAnsi="宋体" w:eastAsia="宋体" w:cs="宋体"/>
          <w:i w:val="0"/>
          <w:iCs w:val="0"/>
          <w:color w:val="auto"/>
          <w:sz w:val="21"/>
          <w:szCs w:val="21"/>
          <w:highlight w:val="none"/>
          <w:lang w:eastAsia="zh-CN"/>
        </w:rPr>
        <w:t>项目</w:t>
      </w:r>
      <w:r>
        <w:rPr>
          <w:rFonts w:hint="eastAsia" w:ascii="宋体" w:hAnsi="宋体" w:cs="宋体"/>
          <w:i w:val="0"/>
          <w:iCs w:val="0"/>
          <w:color w:val="auto"/>
          <w:sz w:val="21"/>
          <w:szCs w:val="21"/>
          <w:highlight w:val="none"/>
          <w:lang w:eastAsia="zh-CN"/>
        </w:rPr>
        <w:t>的</w:t>
      </w:r>
      <w:r>
        <w:rPr>
          <w:rFonts w:hint="eastAsia" w:ascii="宋体" w:hAnsi="宋体" w:eastAsia="宋体" w:cs="宋体"/>
          <w:i w:val="0"/>
          <w:iCs w:val="0"/>
          <w:color w:val="auto"/>
          <w:spacing w:val="-6"/>
          <w:sz w:val="21"/>
          <w:szCs w:val="21"/>
          <w:highlight w:val="none"/>
          <w:u w:val="single"/>
          <w:lang w:eastAsia="zh-CN"/>
        </w:rPr>
        <w:t>高压配电工程总承包（EPC）</w:t>
      </w:r>
      <w:r>
        <w:rPr>
          <w:rFonts w:hint="eastAsia" w:ascii="宋体" w:hAnsi="宋体" w:eastAsia="宋体" w:cs="宋体"/>
          <w:i w:val="0"/>
          <w:iCs w:val="0"/>
          <w:color w:val="auto"/>
          <w:sz w:val="21"/>
          <w:szCs w:val="21"/>
          <w:highlight w:val="none"/>
        </w:rPr>
        <w:t>进行公开招标。</w:t>
      </w:r>
    </w:p>
    <w:p w14:paraId="677DC45B">
      <w:pPr>
        <w:keepNext w:val="0"/>
        <w:keepLines w:val="0"/>
        <w:pageBreakBefore w:val="0"/>
        <w:numPr>
          <w:ilvl w:val="0"/>
          <w:numId w:val="4"/>
        </w:numPr>
        <w:kinsoku/>
        <w:wordWrap/>
        <w:overflowPunct/>
        <w:topLinePunct w:val="0"/>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项目概况与招标范围</w:t>
      </w:r>
    </w:p>
    <w:p w14:paraId="7BF52B9B">
      <w:pPr>
        <w:keepNext w:val="0"/>
        <w:keepLines w:val="0"/>
        <w:pageBreakBefore w:val="0"/>
        <w:numPr>
          <w:ilvl w:val="0"/>
          <w:numId w:val="0"/>
        </w:numPr>
        <w:kinsoku/>
        <w:wordWrap/>
        <w:overflowPunct/>
        <w:topLinePunct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2.1项目概况：</w:t>
      </w:r>
      <w:r>
        <w:rPr>
          <w:rFonts w:hint="eastAsia" w:ascii="宋体" w:hAnsi="宋体" w:eastAsia="宋体" w:cs="宋体"/>
          <w:i w:val="0"/>
          <w:iCs w:val="0"/>
          <w:color w:val="auto"/>
          <w:spacing w:val="-3"/>
          <w:sz w:val="21"/>
          <w:szCs w:val="21"/>
          <w:highlight w:val="none"/>
        </w:rPr>
        <w:t>本项目投资估算</w:t>
      </w:r>
      <w:r>
        <w:rPr>
          <w:rFonts w:hint="eastAsia" w:ascii="宋体" w:hAnsi="宋体" w:cs="宋体"/>
          <w:i/>
          <w:iCs/>
          <w:color w:val="auto"/>
          <w:spacing w:val="-3"/>
          <w:sz w:val="21"/>
          <w:szCs w:val="21"/>
          <w:highlight w:val="none"/>
          <w:u w:val="single"/>
          <w:lang w:val="en-US" w:eastAsia="zh-CN"/>
        </w:rPr>
        <w:t xml:space="preserve"> 1169 </w:t>
      </w:r>
      <w:r>
        <w:rPr>
          <w:rFonts w:hint="eastAsia" w:ascii="宋体" w:hAnsi="宋体" w:eastAsia="宋体" w:cs="宋体"/>
          <w:i w:val="0"/>
          <w:iCs w:val="0"/>
          <w:color w:val="auto"/>
          <w:spacing w:val="-3"/>
          <w:sz w:val="21"/>
          <w:szCs w:val="21"/>
          <w:highlight w:val="none"/>
        </w:rPr>
        <w:t>万元，工程概</w:t>
      </w:r>
      <w:r>
        <w:rPr>
          <w:rFonts w:hint="eastAsia" w:ascii="宋体" w:hAnsi="宋体" w:eastAsia="宋体" w:cs="宋体"/>
          <w:i w:val="0"/>
          <w:iCs w:val="0"/>
          <w:color w:val="auto"/>
          <w:spacing w:val="-4"/>
          <w:sz w:val="21"/>
          <w:szCs w:val="21"/>
          <w:highlight w:val="none"/>
        </w:rPr>
        <w:t>算</w:t>
      </w:r>
      <w:r>
        <w:rPr>
          <w:rFonts w:hint="eastAsia" w:ascii="宋体" w:hAnsi="宋体" w:cs="宋体"/>
          <w:i/>
          <w:iCs/>
          <w:color w:val="auto"/>
          <w:spacing w:val="-3"/>
          <w:sz w:val="21"/>
          <w:szCs w:val="21"/>
          <w:highlight w:val="none"/>
          <w:u w:val="single"/>
          <w:lang w:val="en-US" w:eastAsia="zh-CN"/>
        </w:rPr>
        <w:t xml:space="preserve">  1169 </w:t>
      </w:r>
      <w:r>
        <w:rPr>
          <w:rFonts w:hint="eastAsia" w:ascii="宋体" w:hAnsi="宋体" w:eastAsia="宋体" w:cs="宋体"/>
          <w:i w:val="0"/>
          <w:iCs w:val="0"/>
          <w:color w:val="auto"/>
          <w:spacing w:val="-3"/>
          <w:sz w:val="21"/>
          <w:szCs w:val="21"/>
          <w:highlight w:val="none"/>
        </w:rPr>
        <w:t>万元</w:t>
      </w:r>
      <w:r>
        <w:rPr>
          <w:rFonts w:hint="eastAsia" w:ascii="宋体" w:hAnsi="宋体" w:cs="宋体"/>
          <w:i w:val="0"/>
          <w:iCs w:val="0"/>
          <w:color w:val="auto"/>
          <w:spacing w:val="-4"/>
          <w:sz w:val="21"/>
          <w:szCs w:val="21"/>
          <w:highlight w:val="none"/>
          <w:lang w:val="en-US" w:eastAsia="zh-CN"/>
        </w:rPr>
        <w:t>，</w:t>
      </w:r>
      <w:r>
        <w:rPr>
          <w:rFonts w:hint="eastAsia" w:ascii="宋体" w:hAnsi="宋体" w:eastAsia="宋体" w:cs="宋体"/>
          <w:i w:val="0"/>
          <w:iCs w:val="0"/>
          <w:color w:val="auto"/>
          <w:spacing w:val="-4"/>
          <w:sz w:val="21"/>
          <w:szCs w:val="21"/>
          <w:highlight w:val="none"/>
        </w:rPr>
        <w:t>其中建安工程</w:t>
      </w:r>
      <w:r>
        <w:rPr>
          <w:rFonts w:hint="eastAsia" w:ascii="宋体" w:hAnsi="宋体" w:eastAsia="宋体" w:cs="宋体"/>
          <w:i w:val="0"/>
          <w:iCs w:val="0"/>
          <w:color w:val="auto"/>
          <w:spacing w:val="-1"/>
          <w:sz w:val="21"/>
          <w:szCs w:val="21"/>
          <w:highlight w:val="none"/>
        </w:rPr>
        <w:t>造价</w:t>
      </w:r>
      <w:r>
        <w:rPr>
          <w:rFonts w:hint="eastAsia" w:ascii="宋体" w:hAnsi="宋体" w:cs="宋体"/>
          <w:i/>
          <w:iCs/>
          <w:color w:val="auto"/>
          <w:spacing w:val="-3"/>
          <w:sz w:val="21"/>
          <w:szCs w:val="21"/>
          <w:highlight w:val="none"/>
          <w:u w:val="single"/>
          <w:lang w:val="en-US" w:eastAsia="zh-CN"/>
        </w:rPr>
        <w:t xml:space="preserve"> 1132.4051 </w:t>
      </w:r>
      <w:r>
        <w:rPr>
          <w:rFonts w:hint="eastAsia" w:ascii="宋体" w:hAnsi="宋体" w:eastAsia="宋体" w:cs="宋体"/>
          <w:i w:val="0"/>
          <w:iCs w:val="0"/>
          <w:color w:val="auto"/>
          <w:spacing w:val="-3"/>
          <w:sz w:val="21"/>
          <w:szCs w:val="21"/>
          <w:highlight w:val="none"/>
        </w:rPr>
        <w:t>万元</w:t>
      </w:r>
      <w:r>
        <w:rPr>
          <w:rFonts w:hint="eastAsia" w:ascii="宋体" w:hAnsi="宋体" w:eastAsia="宋体" w:cs="宋体"/>
          <w:i w:val="0"/>
          <w:iCs w:val="0"/>
          <w:color w:val="auto"/>
          <w:spacing w:val="-1"/>
          <w:sz w:val="21"/>
          <w:szCs w:val="21"/>
          <w:highlight w:val="none"/>
        </w:rPr>
        <w:t>，建设规模</w:t>
      </w:r>
      <w:r>
        <w:rPr>
          <w:rFonts w:hint="eastAsia" w:ascii="宋体" w:hAnsi="宋体" w:cs="宋体"/>
          <w:i w:val="0"/>
          <w:iCs w:val="0"/>
          <w:color w:val="auto"/>
          <w:spacing w:val="-1"/>
          <w:sz w:val="21"/>
          <w:szCs w:val="21"/>
          <w:highlight w:val="none"/>
          <w:lang w:eastAsia="zh-CN"/>
        </w:rPr>
        <w:t>：</w:t>
      </w:r>
      <w:r>
        <w:rPr>
          <w:rFonts w:hint="eastAsia" w:ascii="宋体" w:hAnsi="宋体" w:cs="宋体"/>
          <w:i w:val="0"/>
          <w:iCs w:val="0"/>
          <w:color w:val="auto"/>
          <w:spacing w:val="-1"/>
          <w:sz w:val="21"/>
          <w:szCs w:val="21"/>
          <w:highlight w:val="none"/>
          <w:u w:val="single"/>
          <w:lang w:val="en-US" w:eastAsia="zh-CN"/>
        </w:rPr>
        <w:t>总用地面积约为341.64亩，其中X地块安置点规划用地面积约257.14亩，Z地块安置点规划用地面积约为84.5亩，计划安置户数为526户</w:t>
      </w:r>
      <w:r>
        <w:rPr>
          <w:rFonts w:hint="eastAsia" w:ascii="宋体" w:hAnsi="宋体" w:cs="宋体"/>
          <w:color w:val="auto"/>
          <w:sz w:val="21"/>
          <w:szCs w:val="21"/>
          <w:highlight w:val="none"/>
          <w:u w:val="single"/>
          <w:shd w:val="clear" w:color="auto" w:fill="auto"/>
          <w:lang w:val="en-US" w:eastAsia="zh-CN"/>
        </w:rPr>
        <w:t>。主要包括公变总容量8920kVA，6座配电室、1座10kVA环网室设备材料及安装，其中1#、2#、3#、4#配电室各设置2台800kVA干式变，5#、6#配电室各设2台容量为</w:t>
      </w:r>
      <w:r>
        <w:rPr>
          <w:rFonts w:hint="eastAsia" w:ascii="宋体" w:hAnsi="宋体" w:cs="宋体"/>
          <w:color w:val="auto"/>
          <w:szCs w:val="21"/>
          <w:highlight w:val="none"/>
          <w:u w:val="single"/>
          <w:shd w:val="clear" w:color="auto" w:fill="auto"/>
          <w:lang w:val="en-US" w:eastAsia="zh-CN"/>
        </w:rPr>
        <w:t>630kVA干式变。（具体详见招标人提供的图纸、工程量清单）</w:t>
      </w:r>
      <w:r>
        <w:rPr>
          <w:rFonts w:hint="eastAsia" w:ascii="宋体" w:hAnsi="宋体"/>
          <w:color w:val="auto"/>
          <w:szCs w:val="21"/>
          <w:highlight w:val="none"/>
          <w:u w:val="none"/>
          <w:lang w:eastAsia="zh-CN"/>
        </w:rPr>
        <w:t>。</w:t>
      </w:r>
      <w:r>
        <w:rPr>
          <w:rFonts w:hint="eastAsia" w:ascii="宋体" w:hAnsi="宋体" w:eastAsia="宋体" w:cs="宋体"/>
          <w:i w:val="0"/>
          <w:iCs w:val="0"/>
          <w:color w:val="auto"/>
          <w:spacing w:val="-1"/>
          <w:sz w:val="21"/>
          <w:szCs w:val="21"/>
          <w:highlight w:val="none"/>
        </w:rPr>
        <w:t>建设地点：</w:t>
      </w:r>
      <w:r>
        <w:rPr>
          <w:rFonts w:hint="eastAsia" w:ascii="宋体" w:hAnsi="宋体" w:eastAsia="宋体" w:cs="宋体"/>
          <w:i w:val="0"/>
          <w:iCs w:val="0"/>
          <w:color w:val="auto"/>
          <w:spacing w:val="-1"/>
          <w:sz w:val="21"/>
          <w:szCs w:val="21"/>
          <w:highlight w:val="none"/>
          <w:u w:val="single"/>
          <w:lang w:val="en-US" w:eastAsia="zh-CN"/>
        </w:rPr>
        <w:t>开化县华埠镇</w:t>
      </w:r>
      <w:r>
        <w:rPr>
          <w:rFonts w:hint="eastAsia" w:ascii="宋体" w:hAnsi="宋体" w:eastAsia="宋体" w:cs="宋体"/>
          <w:color w:val="auto"/>
          <w:spacing w:val="-1"/>
          <w:sz w:val="21"/>
          <w:szCs w:val="21"/>
          <w:highlight w:val="none"/>
        </w:rPr>
        <w:t>。</w:t>
      </w:r>
    </w:p>
    <w:p w14:paraId="68BC860F">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2.2招标范围：</w:t>
      </w:r>
    </w:p>
    <w:p w14:paraId="38731117">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以EPC总承包方式</w:t>
      </w:r>
      <w:r>
        <w:rPr>
          <w:rFonts w:hint="eastAsia"/>
          <w:color w:val="auto"/>
          <w:szCs w:val="21"/>
          <w:highlight w:val="none"/>
        </w:rPr>
        <w:t>建设</w:t>
      </w:r>
      <w:r>
        <w:rPr>
          <w:rFonts w:hint="eastAsia" w:ascii="宋体" w:hAnsi="宋体" w:eastAsia="宋体" w:cs="宋体"/>
          <w:color w:val="auto"/>
          <w:sz w:val="21"/>
          <w:szCs w:val="21"/>
          <w:highlight w:val="none"/>
        </w:rPr>
        <w:t>开化县城市有机更新共同富裕建设项目安置地（一）基础及室外附属设施配套工程—高压配电工程，包括施工图设计、施工，竣工验收工程缺陷责任期内的缺陷修复，保修期服务等。主要包括以下内容</w:t>
      </w:r>
      <w:r>
        <w:rPr>
          <w:rFonts w:hint="eastAsia" w:ascii="宋体" w:hAnsi="宋体" w:eastAsia="宋体" w:cs="宋体"/>
          <w:color w:val="auto"/>
          <w:sz w:val="21"/>
          <w:szCs w:val="21"/>
          <w:highlight w:val="none"/>
          <w:lang w:eastAsia="zh-CN"/>
        </w:rPr>
        <w:t>：</w:t>
      </w:r>
    </w:p>
    <w:p w14:paraId="6E3263C7">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设计：包括根据招标人要求，完成本项目所有专业施工图设计、配合施工图图审、设计文件报审报批及施工阶段服务等内容，以及各阶段、各部门审批提出的设计文件的修改和施工过程中招标人提出的变更设计等内容。</w:t>
      </w:r>
    </w:p>
    <w:p w14:paraId="0615F725">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②采购：包括本项目所涉及的设施设备材料采购、运输、保管、安装及调试（试运行）、移交以及质保期内的保修服务等。</w:t>
      </w:r>
    </w:p>
    <w:p w14:paraId="5FBC0F25">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③施工：</w:t>
      </w:r>
      <w:r>
        <w:rPr>
          <w:rFonts w:hint="eastAsia" w:ascii="宋体" w:hAnsi="宋体" w:eastAsia="宋体" w:cs="宋体"/>
          <w:color w:val="auto"/>
          <w:sz w:val="21"/>
          <w:szCs w:val="21"/>
          <w:highlight w:val="none"/>
          <w:lang w:eastAsia="zh-CN"/>
        </w:rPr>
        <w:t>主要</w:t>
      </w:r>
      <w:r>
        <w:rPr>
          <w:rFonts w:hint="eastAsia" w:ascii="宋体" w:hAnsi="宋体" w:eastAsia="宋体" w:cs="宋体"/>
          <w:color w:val="auto"/>
          <w:sz w:val="21"/>
          <w:szCs w:val="21"/>
          <w:highlight w:val="none"/>
        </w:rPr>
        <w:t>建设内容包括安装配电箱、电缆、电力管网及供配电线路设备等电力所属工程施工内容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（具体详见招标人提供的图纸、工程量清单）</w:t>
      </w:r>
    </w:p>
    <w:p w14:paraId="398C0AC8">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④总承包管理和服务内容：包括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r>
        <w:rPr>
          <w:rFonts w:hint="eastAsia" w:ascii="宋体" w:hAnsi="宋体" w:cs="宋体"/>
          <w:color w:val="auto"/>
          <w:sz w:val="21"/>
          <w:szCs w:val="21"/>
          <w:highlight w:val="none"/>
          <w:lang w:val="en-US" w:eastAsia="zh-CN"/>
        </w:rPr>
        <w:t>本次招标控制价</w:t>
      </w:r>
      <w:r>
        <w:rPr>
          <w:rFonts w:hint="eastAsia" w:ascii="宋体" w:hAnsi="宋体" w:cs="宋体"/>
          <w:i/>
          <w:iCs/>
          <w:color w:val="auto"/>
          <w:spacing w:val="-5"/>
          <w:sz w:val="21"/>
          <w:szCs w:val="21"/>
          <w:highlight w:val="none"/>
          <w:u w:val="single"/>
          <w:lang w:val="en-US" w:eastAsia="zh-CN"/>
        </w:rPr>
        <w:t xml:space="preserve"> 1120.8886 </w:t>
      </w:r>
      <w:r>
        <w:rPr>
          <w:rFonts w:hint="eastAsia" w:ascii="宋体" w:hAnsi="宋体" w:cs="宋体"/>
          <w:color w:val="auto"/>
          <w:sz w:val="21"/>
          <w:szCs w:val="21"/>
          <w:highlight w:val="none"/>
          <w:lang w:val="en-US" w:eastAsia="zh-CN"/>
        </w:rPr>
        <w:t>万元。</w:t>
      </w:r>
    </w:p>
    <w:p w14:paraId="71B9616F">
      <w:pPr>
        <w:pStyle w:val="20"/>
        <w:rPr>
          <w:rFonts w:hint="eastAsia"/>
          <w:lang w:val="zh-CN"/>
        </w:rPr>
      </w:pPr>
    </w:p>
    <w:p w14:paraId="07448CEA">
      <w:pPr>
        <w:keepNext w:val="0"/>
        <w:keepLines w:val="0"/>
        <w:pageBreakBefore w:val="0"/>
        <w:kinsoku/>
        <w:overflowPunct/>
        <w:bidi w:val="0"/>
        <w:spacing w:line="400" w:lineRule="exact"/>
        <w:ind w:firstLine="420" w:firstLineChars="200"/>
        <w:rPr>
          <w:rFonts w:hint="eastAsia" w:ascii="宋体" w:hAnsi="宋体" w:eastAsia="宋体" w:cs="宋体"/>
          <w:b w:val="0"/>
          <w:bCs w:val="0"/>
          <w:color w:val="auto"/>
          <w:spacing w:val="-5"/>
          <w:sz w:val="21"/>
          <w:szCs w:val="21"/>
          <w:highlight w:val="none"/>
          <w:lang w:eastAsia="zh-CN"/>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i w:val="0"/>
          <w:iCs w:val="0"/>
          <w:color w:val="auto"/>
          <w:spacing w:val="0"/>
          <w:sz w:val="21"/>
          <w:szCs w:val="21"/>
          <w:highlight w:val="none"/>
        </w:rPr>
        <w:t>计划工期</w:t>
      </w:r>
      <w:r>
        <w:rPr>
          <w:rFonts w:hint="eastAsia" w:ascii="宋体" w:hAnsi="宋体" w:eastAsia="宋体" w:cs="宋体"/>
          <w:color w:val="auto"/>
          <w:spacing w:val="-5"/>
          <w:sz w:val="21"/>
          <w:szCs w:val="21"/>
          <w:highlight w:val="none"/>
        </w:rPr>
        <w:t>：</w:t>
      </w:r>
      <w:r>
        <w:rPr>
          <w:rFonts w:hint="eastAsia" w:ascii="宋体" w:hAnsi="宋体" w:cs="宋体"/>
          <w:i/>
          <w:iCs/>
          <w:color w:val="auto"/>
          <w:spacing w:val="-5"/>
          <w:sz w:val="21"/>
          <w:szCs w:val="21"/>
          <w:highlight w:val="none"/>
          <w:u w:val="single"/>
          <w:lang w:val="en-US" w:eastAsia="zh-CN"/>
        </w:rPr>
        <w:t xml:space="preserve"> 60</w:t>
      </w:r>
      <w:r>
        <w:rPr>
          <w:rFonts w:hint="eastAsia" w:ascii="宋体" w:hAnsi="宋体" w:eastAsia="宋体" w:cs="宋体"/>
          <w:color w:val="auto"/>
          <w:spacing w:val="-5"/>
          <w:sz w:val="21"/>
          <w:szCs w:val="21"/>
          <w:highlight w:val="none"/>
          <w:u w:val="none"/>
        </w:rPr>
        <w:t>日历天</w:t>
      </w:r>
      <w:r>
        <w:rPr>
          <w:rFonts w:hint="eastAsia" w:ascii="宋体" w:hAnsi="宋体"/>
          <w:b w:val="0"/>
          <w:bCs w:val="0"/>
          <w:color w:val="auto"/>
          <w:szCs w:val="21"/>
          <w:highlight w:val="none"/>
          <w:lang w:eastAsia="zh-CN"/>
        </w:rPr>
        <w:t>。</w:t>
      </w:r>
    </w:p>
    <w:p w14:paraId="74908CB1">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2.4 是否属于政府采购工程</w:t>
      </w:r>
      <w:r>
        <w:rPr>
          <w:rFonts w:hint="eastAsia" w:ascii="宋体" w:hAnsi="宋体" w:cs="宋体"/>
          <w:color w:val="auto"/>
          <w:spacing w:val="-5"/>
          <w:sz w:val="21"/>
          <w:szCs w:val="21"/>
          <w:highlight w:val="none"/>
          <w:lang w:val="en-US" w:eastAsia="zh-CN"/>
        </w:rPr>
        <w:t xml:space="preserve">    </w:t>
      </w:r>
      <w:r>
        <w:rPr>
          <w:rFonts w:hint="eastAsia" w:ascii="宋体" w:hAnsi="宋体" w:eastAsia="宋体" w:cs="宋体"/>
          <w:color w:val="auto"/>
          <w:spacing w:val="-5"/>
          <w:sz w:val="21"/>
          <w:szCs w:val="21"/>
          <w:highlight w:val="none"/>
          <w:lang w:val="en-US" w:eastAsia="zh-CN"/>
        </w:rPr>
        <w:t xml:space="preserve">□是 </w:t>
      </w:r>
      <w:r>
        <w:rPr>
          <w:rFonts w:hint="eastAsia" w:ascii="宋体" w:hAnsi="宋体" w:cs="宋体"/>
          <w:color w:val="auto"/>
          <w:spacing w:val="-5"/>
          <w:sz w:val="21"/>
          <w:szCs w:val="21"/>
          <w:highlight w:val="none"/>
          <w:lang w:val="en-US" w:eastAsia="zh-CN"/>
        </w:rPr>
        <w:t xml:space="preserve">  ☑</w:t>
      </w:r>
      <w:r>
        <w:rPr>
          <w:rFonts w:hint="eastAsia" w:ascii="宋体" w:hAnsi="宋体" w:eastAsia="宋体" w:cs="宋体"/>
          <w:color w:val="auto"/>
          <w:spacing w:val="-5"/>
          <w:sz w:val="21"/>
          <w:szCs w:val="21"/>
          <w:highlight w:val="none"/>
          <w:lang w:val="en-US" w:eastAsia="zh-CN"/>
        </w:rPr>
        <w:t xml:space="preserve">否 </w:t>
      </w:r>
    </w:p>
    <w:p w14:paraId="4BF664D7">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2.5 是否专门面向中小企业预留 </w:t>
      </w:r>
    </w:p>
    <w:p w14:paraId="70C1BB01">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□是 </w:t>
      </w:r>
    </w:p>
    <w:p w14:paraId="585C7A83">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cs="宋体"/>
          <w:color w:val="auto"/>
          <w:spacing w:val="-5"/>
          <w:sz w:val="21"/>
          <w:szCs w:val="21"/>
          <w:highlight w:val="none"/>
          <w:lang w:val="en-US" w:eastAsia="zh-CN"/>
        </w:rPr>
        <w:t>☑</w:t>
      </w:r>
      <w:r>
        <w:rPr>
          <w:rFonts w:hint="eastAsia" w:ascii="宋体" w:hAnsi="宋体" w:eastAsia="宋体" w:cs="宋体"/>
          <w:color w:val="auto"/>
          <w:spacing w:val="-5"/>
          <w:sz w:val="21"/>
          <w:szCs w:val="21"/>
          <w:highlight w:val="none"/>
          <w:lang w:val="en-US" w:eastAsia="zh-CN"/>
        </w:rPr>
        <w:t xml:space="preserve">否 （不专门面向中小企业采购的原因及适用条款） </w:t>
      </w:r>
    </w:p>
    <w:p w14:paraId="318F942F">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2.6 专门面向中小企业预留的实施方式 </w:t>
      </w:r>
    </w:p>
    <w:p w14:paraId="52BC0BE8">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 xml:space="preserve">□2.6.1本标段整体面向中小企业； </w:t>
      </w:r>
    </w:p>
    <w:p w14:paraId="035458C4">
      <w:pPr>
        <w:keepNext w:val="0"/>
        <w:keepLines w:val="0"/>
        <w:pageBreakBefore w:val="0"/>
        <w:widowControl/>
        <w:kinsoku/>
        <w:wordWrap/>
        <w:overflowPunct/>
        <w:topLinePunct w:val="0"/>
        <w:bidi w:val="0"/>
        <w:adjustRightInd/>
        <w:snapToGrid/>
        <w:spacing w:line="400" w:lineRule="exact"/>
        <w:ind w:right="0" w:firstLine="400" w:firstLineChars="200"/>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lang w:val="en-US" w:eastAsia="zh-CN"/>
        </w:rPr>
        <w:t>□2.6.2本标段联合体形式面向中小企业，以联合体形式参加本次投标的，联合体中中小企业承担的合同份额需达到（不低于40%）以上。</w:t>
      </w:r>
    </w:p>
    <w:p w14:paraId="0A719541">
      <w:pPr>
        <w:keepNext w:val="0"/>
        <w:keepLines w:val="0"/>
        <w:pageBreakBefore w:val="0"/>
        <w:kinsoku/>
        <w:wordWrap/>
        <w:overflowPunct/>
        <w:topLinePunct w:val="0"/>
        <w:bidi w:val="0"/>
        <w:snapToGrid/>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3.投标人资格要求</w:t>
      </w:r>
    </w:p>
    <w:p w14:paraId="69DF6A31">
      <w:pPr>
        <w:pStyle w:val="10"/>
        <w:keepNext w:val="0"/>
        <w:keepLines w:val="0"/>
        <w:pageBreakBefore w:val="0"/>
        <w:tabs>
          <w:tab w:val="left" w:pos="1343"/>
          <w:tab w:val="left" w:pos="2697"/>
          <w:tab w:val="left" w:pos="3264"/>
          <w:tab w:val="left" w:pos="4896"/>
          <w:tab w:val="left" w:pos="6005"/>
          <w:tab w:val="left" w:pos="7085"/>
          <w:tab w:val="left" w:pos="7498"/>
        </w:tabs>
        <w:kinsoku/>
        <w:wordWrap/>
        <w:overflowPunct/>
        <w:topLinePunct w:val="0"/>
        <w:bidi w:val="0"/>
        <w:adjustRightInd/>
        <w:snapToGrid/>
        <w:spacing w:after="0" w:afterLines="0" w:line="400" w:lineRule="exact"/>
        <w:ind w:left="0" w:firstLine="420" w:firstLineChars="20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shd w:val="clear" w:color="auto" w:fill="FFFFFF"/>
        </w:rPr>
        <w:t>（一）投标人</w:t>
      </w:r>
      <w:r>
        <w:rPr>
          <w:rFonts w:hint="eastAsia" w:ascii="宋体" w:hAnsi="宋体" w:eastAsia="宋体" w:cs="宋体"/>
          <w:i w:val="0"/>
          <w:iCs w:val="0"/>
          <w:color w:val="auto"/>
          <w:sz w:val="21"/>
          <w:szCs w:val="21"/>
          <w:highlight w:val="none"/>
        </w:rPr>
        <w:t>：</w:t>
      </w:r>
    </w:p>
    <w:p w14:paraId="63DB119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w:t>
      </w:r>
      <w:r>
        <w:rPr>
          <w:rFonts w:hint="eastAsia" w:ascii="宋体" w:hAnsi="宋体"/>
          <w:color w:val="000000" w:themeColor="text1"/>
          <w:szCs w:val="21"/>
          <w:highlight w:val="none"/>
          <w14:textFill>
            <w14:solidFill>
              <w14:schemeClr w14:val="tx1"/>
            </w14:solidFill>
          </w14:textFill>
        </w:rPr>
        <w:t>投标人须在中华人民共和国境内注册，具备独立法人资格的</w:t>
      </w:r>
      <w:r>
        <w:rPr>
          <w:rFonts w:hint="eastAsia" w:ascii="宋体" w:hAnsi="宋体"/>
          <w:color w:val="000000" w:themeColor="text1"/>
          <w:szCs w:val="21"/>
          <w:highlight w:val="none"/>
          <w:lang w:eastAsia="zh-CN"/>
          <w14:textFill>
            <w14:solidFill>
              <w14:schemeClr w14:val="tx1"/>
            </w14:solidFill>
          </w14:textFill>
        </w:rPr>
        <w:t>（接受联合体）</w:t>
      </w:r>
      <w:r>
        <w:rPr>
          <w:rFonts w:hint="eastAsia" w:ascii="宋体" w:hAnsi="宋体"/>
          <w:color w:val="000000" w:themeColor="text1"/>
          <w:szCs w:val="21"/>
          <w:highlight w:val="none"/>
          <w14:textFill>
            <w14:solidFill>
              <w14:schemeClr w14:val="tx1"/>
            </w14:solidFill>
          </w14:textFill>
        </w:rPr>
        <w:t>，同时具有以下</w:t>
      </w:r>
      <w:r>
        <w:rPr>
          <w:rFonts w:hint="eastAsia" w:ascii="宋体" w:hAnsi="宋体"/>
          <w:color w:val="000000" w:themeColor="text1"/>
          <w:szCs w:val="21"/>
          <w:highlight w:val="none"/>
          <w:lang w:val="en-US" w:eastAsia="zh-CN"/>
          <w14:textFill>
            <w14:solidFill>
              <w14:schemeClr w14:val="tx1"/>
            </w14:solidFill>
          </w14:textFill>
        </w:rPr>
        <w:t>3.1.1、3.1.2、3.1.3项</w:t>
      </w:r>
      <w:r>
        <w:rPr>
          <w:rFonts w:hint="eastAsia" w:ascii="宋体" w:hAnsi="宋体"/>
          <w:color w:val="000000" w:themeColor="text1"/>
          <w:szCs w:val="21"/>
          <w:highlight w:val="none"/>
          <w14:textFill>
            <w14:solidFill>
              <w14:schemeClr w14:val="tx1"/>
            </w14:solidFill>
          </w14:textFill>
        </w:rPr>
        <w:t>资质</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且在人员、设备、资金等方面具有相应的承担能</w:t>
      </w:r>
      <w:r>
        <w:rPr>
          <w:rFonts w:hint="eastAsia" w:ascii="宋体" w:hAnsi="宋体" w:eastAsia="宋体" w:cs="Times New Roman"/>
          <w:color w:val="000000" w:themeColor="text1"/>
          <w:szCs w:val="21"/>
          <w:highlight w:val="none"/>
          <w14:textFill>
            <w14:solidFill>
              <w14:schemeClr w14:val="tx1"/>
            </w14:solidFill>
          </w14:textFill>
        </w:rPr>
        <w:t>力：</w:t>
      </w:r>
    </w:p>
    <w:p w14:paraId="5C46D29A">
      <w:pPr>
        <w:keepNext w:val="0"/>
        <w:keepLines w:val="0"/>
        <w:pageBreakBefore w:val="0"/>
        <w:kinsoku/>
        <w:overflowPunct/>
        <w:bidi w:val="0"/>
        <w:spacing w:line="40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rPr>
        <w:t>3.1.1具备建设主管部门颁发的</w:t>
      </w:r>
      <w:r>
        <w:rPr>
          <w:rFonts w:hint="eastAsia" w:ascii="宋体" w:hAnsi="宋体" w:eastAsia="宋体"/>
          <w:color w:val="auto"/>
          <w:szCs w:val="21"/>
          <w:highlight w:val="none"/>
          <w:lang w:eastAsia="zh-CN"/>
        </w:rPr>
        <w:t>具有电力工程施工总承包三级及以上资质或输变电工程专业承包三级及以上资质</w:t>
      </w:r>
      <w:r>
        <w:rPr>
          <w:rFonts w:hint="eastAsia" w:asciiTheme="minorEastAsia" w:hAnsiTheme="minorEastAsia" w:eastAsiaTheme="minorEastAsia" w:cstheme="minorEastAsia"/>
          <w:color w:val="auto"/>
          <w:sz w:val="21"/>
          <w:szCs w:val="21"/>
          <w:highlight w:val="none"/>
          <w:shd w:val="clear" w:color="auto" w:fill="FFFFFF"/>
        </w:rPr>
        <w:t>（对应</w:t>
      </w:r>
      <w:r>
        <w:rPr>
          <w:rFonts w:hint="eastAsia" w:ascii="宋体" w:hAnsi="宋体" w:eastAsia="宋体" w:cs="Times New Roman"/>
          <w:color w:val="auto"/>
          <w:szCs w:val="21"/>
          <w:highlight w:val="none"/>
          <w:u w:val="none"/>
        </w:rPr>
        <w:t>资质应在“浙江省建筑市场监管公共服务系统”上资质动态核查结果处于“合格”状态）</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 xml:space="preserve">     </w:t>
      </w:r>
    </w:p>
    <w:p w14:paraId="2F26F9F4">
      <w:pPr>
        <w:keepNext w:val="0"/>
        <w:keepLines w:val="0"/>
        <w:pageBreakBefore w:val="0"/>
        <w:kinsoku/>
        <w:overflowPunct/>
        <w:bidi w:val="0"/>
        <w:spacing w:line="40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3.1.2具备</w:t>
      </w:r>
      <w:r>
        <w:rPr>
          <w:rFonts w:hint="eastAsia" w:ascii="宋体" w:hAnsi="宋体"/>
          <w:color w:val="auto"/>
          <w:szCs w:val="21"/>
          <w:highlight w:val="none"/>
          <w:lang w:eastAsia="zh-CN"/>
        </w:rPr>
        <w:t>国家能源部门颁发的承装（修、试）电力设施许可证五级及以上资质；</w:t>
      </w:r>
    </w:p>
    <w:p w14:paraId="702C24D5">
      <w:pPr>
        <w:keepNext w:val="0"/>
        <w:keepLines w:val="0"/>
        <w:pageBreakBefore w:val="0"/>
        <w:kinsoku/>
        <w:overflowPunct/>
        <w:bidi w:val="0"/>
        <w:spacing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3.1.</w:t>
      </w:r>
      <w:r>
        <w:rPr>
          <w:rFonts w:hint="eastAsia" w:ascii="宋体" w:hAnsi="宋体"/>
          <w:color w:val="auto"/>
          <w:szCs w:val="21"/>
          <w:highlight w:val="none"/>
          <w:lang w:val="en-US" w:eastAsia="zh-CN"/>
        </w:rPr>
        <w:t>3</w:t>
      </w:r>
      <w:r>
        <w:rPr>
          <w:rFonts w:hint="eastAsia" w:ascii="宋体" w:hAnsi="宋体"/>
          <w:color w:val="auto"/>
          <w:szCs w:val="21"/>
          <w:highlight w:val="none"/>
        </w:rPr>
        <w:t>具备建设主管部门颁发的以下设计资质条件之一</w:t>
      </w:r>
      <w:r>
        <w:rPr>
          <w:rFonts w:hint="eastAsia" w:ascii="宋体" w:hAnsi="宋体"/>
          <w:color w:val="auto"/>
          <w:szCs w:val="21"/>
          <w:highlight w:val="none"/>
          <w:lang w:eastAsia="zh-CN"/>
        </w:rPr>
        <w:t>：</w:t>
      </w:r>
    </w:p>
    <w:p w14:paraId="5C511907">
      <w:pPr>
        <w:keepNext w:val="0"/>
        <w:keepLines w:val="0"/>
        <w:pageBreakBefore w:val="0"/>
        <w:kinsoku/>
        <w:overflowPunct/>
        <w:bidi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①工程设计综合资质</w:t>
      </w:r>
      <w:r>
        <w:rPr>
          <w:rFonts w:hint="eastAsia" w:ascii="宋体" w:hAnsi="宋体" w:eastAsia="宋体" w:cs="Times New Roman"/>
          <w:color w:val="auto"/>
          <w:szCs w:val="21"/>
          <w:highlight w:val="none"/>
          <w:lang w:eastAsia="zh-CN"/>
        </w:rPr>
        <w:t>甲级</w:t>
      </w:r>
      <w:r>
        <w:rPr>
          <w:rFonts w:hint="eastAsia" w:ascii="宋体" w:hAnsi="宋体" w:eastAsia="宋体" w:cs="Times New Roman"/>
          <w:color w:val="auto"/>
          <w:szCs w:val="21"/>
          <w:highlight w:val="none"/>
        </w:rPr>
        <w:t xml:space="preserve">； </w:t>
      </w:r>
    </w:p>
    <w:p w14:paraId="57D31D67">
      <w:pPr>
        <w:keepNext w:val="0"/>
        <w:keepLines w:val="0"/>
        <w:pageBreakBefore w:val="0"/>
        <w:kinsoku/>
        <w:overflowPunct/>
        <w:bidi w:val="0"/>
        <w:spacing w:line="400" w:lineRule="exact"/>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②工程设计</w:t>
      </w:r>
      <w:r>
        <w:rPr>
          <w:rFonts w:hint="eastAsia" w:ascii="宋体" w:hAnsi="宋体" w:eastAsia="宋体" w:cs="Times New Roman"/>
          <w:color w:val="auto"/>
          <w:szCs w:val="21"/>
          <w:highlight w:val="none"/>
          <w:lang w:eastAsia="zh-CN"/>
        </w:rPr>
        <w:t>电力行业</w:t>
      </w:r>
      <w:r>
        <w:rPr>
          <w:rFonts w:hint="eastAsia" w:ascii="宋体" w:hAnsi="宋体" w:eastAsia="宋体" w:cs="Times New Roman"/>
          <w:color w:val="auto"/>
          <w:szCs w:val="21"/>
          <w:highlight w:val="none"/>
          <w:lang w:val="en-US" w:eastAsia="zh-CN"/>
        </w:rPr>
        <w:t>乙</w:t>
      </w:r>
      <w:r>
        <w:rPr>
          <w:rFonts w:hint="eastAsia" w:ascii="宋体" w:hAnsi="宋体" w:eastAsia="宋体" w:cs="Times New Roman"/>
          <w:color w:val="auto"/>
          <w:szCs w:val="21"/>
          <w:highlight w:val="none"/>
          <w:lang w:eastAsia="zh-CN"/>
        </w:rPr>
        <w:t>级及以上资质。</w:t>
      </w:r>
    </w:p>
    <w:p w14:paraId="26D5DB83">
      <w:pPr>
        <w:keepNext w:val="0"/>
        <w:keepLines w:val="0"/>
        <w:pageBreakBefore w:val="0"/>
        <w:kinsoku/>
        <w:overflowPunct/>
        <w:bidi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③工程设计电力行业送电工程专业丙级</w:t>
      </w:r>
      <w:r>
        <w:rPr>
          <w:rFonts w:hint="eastAsia" w:ascii="宋体" w:hAnsi="宋体" w:cs="Times New Roman"/>
          <w:color w:val="auto"/>
          <w:szCs w:val="21"/>
          <w:highlight w:val="none"/>
          <w:lang w:eastAsia="zh-CN"/>
        </w:rPr>
        <w:t>及</w:t>
      </w:r>
      <w:r>
        <w:rPr>
          <w:rFonts w:hint="eastAsia" w:ascii="宋体" w:hAnsi="宋体" w:eastAsia="宋体" w:cs="Times New Roman"/>
          <w:color w:val="auto"/>
          <w:szCs w:val="21"/>
          <w:highlight w:val="none"/>
        </w:rPr>
        <w:t xml:space="preserve">以上资质； </w:t>
      </w:r>
    </w:p>
    <w:p w14:paraId="72DADC73">
      <w:pPr>
        <w:keepNext w:val="0"/>
        <w:keepLines w:val="0"/>
        <w:pageBreakBefore w:val="0"/>
        <w:kinsoku/>
        <w:overflowPunct/>
        <w:bidi w:val="0"/>
        <w:spacing w:line="40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3.2本次招标</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eastAsia="zh-CN"/>
        </w:rPr>
        <w:t>接受</w:t>
      </w:r>
      <w:r>
        <w:rPr>
          <w:rFonts w:hint="eastAsia" w:ascii="宋体" w:hAnsi="宋体" w:eastAsia="宋体" w:cs="Times New Roman"/>
          <w:color w:val="auto"/>
          <w:szCs w:val="21"/>
          <w:highlight w:val="none"/>
          <w:lang w:val="en-US" w:eastAsia="zh-CN"/>
        </w:rPr>
        <w:t>□不接受</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联合体投标。</w:t>
      </w:r>
      <w:r>
        <w:rPr>
          <w:rFonts w:hint="eastAsia"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rPr>
        <w:t>联合体投标的，应满足下列要求：</w:t>
      </w:r>
    </w:p>
    <w:p w14:paraId="0AB19E90">
      <w:pPr>
        <w:keepNext w:val="0"/>
        <w:keepLines w:val="0"/>
        <w:pageBreakBefore w:val="0"/>
        <w:kinsoku/>
        <w:overflowPunct/>
        <w:bidi w:val="0"/>
        <w:spacing w:line="400" w:lineRule="exact"/>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3.2.</w:t>
      </w:r>
      <w:r>
        <w:rPr>
          <w:rFonts w:hint="eastAsia" w:ascii="宋体" w:hAnsi="宋体" w:eastAsia="宋体" w:cs="Times New Roman"/>
          <w:color w:val="auto"/>
          <w:szCs w:val="21"/>
          <w:highlight w:val="none"/>
          <w:lang w:val="en-US" w:eastAsia="zh-CN"/>
        </w:rPr>
        <w:t>1项目负责人由牵头单位人员委派；</w:t>
      </w:r>
    </w:p>
    <w:p w14:paraId="2A4F2380">
      <w:pPr>
        <w:keepNext w:val="0"/>
        <w:keepLines w:val="0"/>
        <w:pageBreakBefore w:val="0"/>
        <w:kinsoku/>
        <w:overflowPunct/>
        <w:bidi w:val="0"/>
        <w:spacing w:line="400" w:lineRule="exact"/>
        <w:ind w:firstLine="210" w:firstLineChars="100"/>
        <w:rPr>
          <w:rFonts w:hint="eastAsia" w:ascii="宋体" w:hAnsi="宋体"/>
          <w:color w:val="auto"/>
          <w:szCs w:val="21"/>
          <w:highlight w:val="none"/>
          <w:lang w:eastAsia="zh-CN"/>
        </w:rPr>
      </w:pPr>
      <w:r>
        <w:rPr>
          <w:rFonts w:hint="eastAsia" w:ascii="宋体" w:hAnsi="宋体" w:eastAsia="宋体" w:cs="宋体"/>
          <w:color w:val="auto"/>
          <w:highlight w:val="none"/>
          <w:lang w:eastAsia="zh-CN"/>
        </w:rPr>
        <w:t>☑</w:t>
      </w:r>
      <w:r>
        <w:rPr>
          <w:rFonts w:hint="eastAsia" w:ascii="宋体" w:hAnsi="宋体"/>
          <w:color w:val="auto"/>
          <w:szCs w:val="21"/>
          <w:highlight w:val="none"/>
          <w:lang w:val="en-US" w:eastAsia="zh-CN"/>
        </w:rPr>
        <w:t>3.2.2</w:t>
      </w:r>
      <w:r>
        <w:rPr>
          <w:rFonts w:hint="eastAsia" w:ascii="宋体" w:hAnsi="宋体"/>
          <w:color w:val="auto"/>
          <w:szCs w:val="21"/>
          <w:highlight w:val="none"/>
        </w:rPr>
        <w:t>联合体数量不超过</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 xml:space="preserve"> </w:t>
      </w:r>
      <w:r>
        <w:rPr>
          <w:rFonts w:hint="eastAsia" w:ascii="宋体" w:hAnsi="宋体"/>
          <w:color w:val="auto"/>
          <w:szCs w:val="21"/>
          <w:highlight w:val="none"/>
        </w:rPr>
        <w:t>个</w:t>
      </w:r>
      <w:r>
        <w:rPr>
          <w:rFonts w:hint="eastAsia" w:ascii="宋体" w:hAnsi="宋体"/>
          <w:color w:val="auto"/>
          <w:szCs w:val="21"/>
          <w:highlight w:val="none"/>
          <w:lang w:eastAsia="zh-CN"/>
        </w:rPr>
        <w:t>。</w:t>
      </w:r>
    </w:p>
    <w:p w14:paraId="1702970B">
      <w:pPr>
        <w:keepNext w:val="0"/>
        <w:keepLines w:val="0"/>
        <w:pageBreakBefore w:val="0"/>
        <w:kinsoku/>
        <w:overflowPunct/>
        <w:bidi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3.2.</w:t>
      </w:r>
      <w:r>
        <w:rPr>
          <w:rFonts w:hint="eastAsia" w:ascii="宋体" w:hAnsi="宋体"/>
          <w:color w:val="auto"/>
          <w:szCs w:val="21"/>
          <w:highlight w:val="none"/>
          <w:lang w:val="en-US" w:eastAsia="zh-CN"/>
        </w:rPr>
        <w:t>3</w:t>
      </w:r>
      <w:r>
        <w:rPr>
          <w:rFonts w:hint="eastAsia" w:ascii="宋体" w:hAnsi="宋体"/>
          <w:color w:val="auto"/>
          <w:szCs w:val="21"/>
          <w:highlight w:val="none"/>
        </w:rPr>
        <w:t>联合体的各专业资质等级，根据联合体共同投标协议书约定的专业分工认定，相同专业单位组成的联合体，按照承担相应专业工作的资质等级较低的单位确定；不同专业单位组成的联合体，按照联合体协议分工所承担的专业工作对应各自的专业资质认定；</w:t>
      </w:r>
    </w:p>
    <w:p w14:paraId="2062C8C3">
      <w:pPr>
        <w:keepNext w:val="0"/>
        <w:keepLines w:val="0"/>
        <w:pageBreakBefore w:val="0"/>
        <w:kinsoku/>
        <w:overflowPunct/>
        <w:bidi w:val="0"/>
        <w:spacing w:line="400" w:lineRule="exact"/>
        <w:ind w:firstLine="210" w:firstLineChars="10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3.2.4其他</w:t>
      </w:r>
      <w:r>
        <w:rPr>
          <w:rFonts w:hint="eastAsia" w:ascii="宋体" w:hAnsi="宋体"/>
          <w:color w:val="auto"/>
          <w:szCs w:val="21"/>
          <w:highlight w:val="none"/>
          <w:lang w:val="en-US" w:eastAsia="zh-CN"/>
        </w:rPr>
        <w:t>：</w:t>
      </w:r>
      <w:r>
        <w:rPr>
          <w:rFonts w:hint="eastAsia" w:ascii="宋体" w:hAnsi="宋体"/>
          <w:color w:val="auto"/>
          <w:szCs w:val="21"/>
          <w:highlight w:val="none"/>
        </w:rPr>
        <w:t>投标人如组成联合体形式投标，牵头人必须</w:t>
      </w:r>
      <w:r>
        <w:rPr>
          <w:rFonts w:hint="eastAsia" w:ascii="宋体" w:hAnsi="宋体"/>
          <w:color w:val="auto"/>
          <w:szCs w:val="21"/>
          <w:highlight w:val="none"/>
          <w:lang w:eastAsia="zh-CN"/>
        </w:rPr>
        <w:t>为设计</w:t>
      </w:r>
      <w:r>
        <w:rPr>
          <w:rFonts w:hint="eastAsia" w:ascii="宋体" w:hAnsi="宋体"/>
          <w:color w:val="auto"/>
          <w:szCs w:val="21"/>
          <w:highlight w:val="none"/>
        </w:rPr>
        <w:t>单位；</w:t>
      </w:r>
    </w:p>
    <w:p w14:paraId="4636385D">
      <w:pPr>
        <w:keepNext w:val="0"/>
        <w:keepLines w:val="0"/>
        <w:pageBreakBefore w:val="0"/>
        <w:kinsoku/>
        <w:overflowPunct/>
        <w:bidi w:val="0"/>
        <w:spacing w:line="400" w:lineRule="exact"/>
        <w:ind w:firstLine="210" w:firstLineChars="100"/>
        <w:rPr>
          <w:rFonts w:hint="eastAsia" w:ascii="宋体" w:hAnsi="宋体"/>
          <w:color w:val="auto"/>
          <w:szCs w:val="21"/>
          <w:highlight w:val="none"/>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color w:val="auto"/>
          <w:szCs w:val="21"/>
          <w:highlight w:val="none"/>
        </w:rPr>
        <w:t>3.3具备有效的企业安全生产许可证(联合体投标的，承担施工工作的联合体成员均应提供)；</w:t>
      </w:r>
    </w:p>
    <w:p w14:paraId="46C4C3C1">
      <w:pPr>
        <w:keepNext w:val="0"/>
        <w:keepLines w:val="0"/>
        <w:pageBreakBefore w:val="0"/>
        <w:widowControl w:val="0"/>
        <w:kinsoku/>
        <w:wordWrap/>
        <w:overflowPunct/>
        <w:topLinePunct w:val="0"/>
        <w:autoSpaceDE/>
        <w:autoSpaceDN/>
        <w:bidi w:val="0"/>
        <w:adjustRightInd w:val="0"/>
        <w:snapToGrid w:val="0"/>
        <w:spacing w:line="400" w:lineRule="exact"/>
        <w:ind w:firstLine="210" w:firstLineChars="100"/>
        <w:jc w:val="both"/>
        <w:textAlignment w:val="auto"/>
        <w:outlineLvl w:val="9"/>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3.4</w:t>
      </w:r>
      <w:r>
        <w:rPr>
          <w:rFonts w:hint="eastAsia" w:ascii="宋体" w:hAnsi="宋体" w:eastAsia="宋体" w:cs="宋体"/>
          <w:color w:val="000000" w:themeColor="text1"/>
          <w:szCs w:val="21"/>
          <w:highlight w:val="none"/>
          <w:lang w:val="zh-CN"/>
          <w14:textFill>
            <w14:solidFill>
              <w14:schemeClr w14:val="tx1"/>
            </w14:solidFill>
          </w14:textFill>
        </w:rPr>
        <w:t>自</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年 </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 xml:space="preserve">月 </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zh-CN"/>
          <w14:textFill>
            <w14:solidFill>
              <w14:schemeClr w14:val="tx1"/>
            </w14:solidFill>
          </w14:textFill>
        </w:rPr>
        <w:t>日以来承接过/完成过 (与发包工程相类似的设计、施工或者工程总承包业绩均可作为资格条件业绩) 业绩</w:t>
      </w:r>
      <w:r>
        <w:rPr>
          <w:rFonts w:hint="eastAsia" w:ascii="宋体" w:hAnsi="宋体" w:eastAsia="宋体" w:cs="宋体"/>
          <w:color w:val="000000" w:themeColor="text1"/>
          <w:highlight w:val="none"/>
          <w14:textFill>
            <w14:solidFill>
              <w14:schemeClr w14:val="tx1"/>
            </w14:solidFill>
          </w14:textFill>
        </w:rPr>
        <w:t>；</w:t>
      </w:r>
    </w:p>
    <w:p w14:paraId="10033350">
      <w:pPr>
        <w:keepNext w:val="0"/>
        <w:keepLines w:val="0"/>
        <w:pageBreakBefore w:val="0"/>
        <w:kinsoku/>
        <w:overflowPunct/>
        <w:bidi w:val="0"/>
        <w:spacing w:line="400" w:lineRule="exact"/>
        <w:ind w:firstLine="210" w:firstLineChars="100"/>
        <w:rPr>
          <w:rFonts w:hint="eastAsia" w:ascii="宋体" w:hAnsi="宋体"/>
          <w:color w:val="auto"/>
          <w:szCs w:val="21"/>
          <w:highlight w:val="none"/>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color w:val="auto"/>
          <w:szCs w:val="21"/>
          <w:highlight w:val="none"/>
        </w:rPr>
        <w:t>3.</w:t>
      </w:r>
      <w:r>
        <w:rPr>
          <w:rFonts w:hint="eastAsia" w:ascii="宋体" w:hAnsi="宋体"/>
          <w:color w:val="auto"/>
          <w:szCs w:val="21"/>
          <w:highlight w:val="none"/>
          <w:lang w:val="en-US" w:eastAsia="zh-CN"/>
        </w:rPr>
        <w:t>5</w:t>
      </w:r>
      <w:r>
        <w:rPr>
          <w:rFonts w:hint="eastAsia" w:ascii="宋体" w:hAnsi="宋体"/>
          <w:color w:val="auto"/>
          <w:szCs w:val="21"/>
          <w:highlight w:val="none"/>
        </w:rPr>
        <w:t>企业主要负责人(法定代表人、企业经理、企业分管安全生产的副经理 、企业技术负责人)具有有效的安全生产考核合格证书，其中企业经理、企业分管安全生产的副经理、企业技术负责人须有任命书</w:t>
      </w:r>
      <w:r>
        <w:rPr>
          <w:rFonts w:hint="eastAsia" w:ascii="宋体" w:hAnsi="宋体"/>
          <w:color w:val="auto"/>
          <w:szCs w:val="21"/>
          <w:highlight w:val="none"/>
          <w:lang w:eastAsia="zh-CN"/>
        </w:rPr>
        <w:t>；</w:t>
      </w:r>
      <w:r>
        <w:rPr>
          <w:rFonts w:hint="eastAsia" w:ascii="宋体" w:hAnsi="宋体"/>
          <w:color w:val="auto"/>
          <w:szCs w:val="21"/>
          <w:highlight w:val="none"/>
        </w:rPr>
        <w:t>(联合体投标的，承担施工工作的联合体成员均应提供)；</w:t>
      </w:r>
    </w:p>
    <w:p w14:paraId="115F61AD">
      <w:pPr>
        <w:keepNext w:val="0"/>
        <w:keepLines w:val="0"/>
        <w:pageBreakBefore w:val="0"/>
        <w:widowControl w:val="0"/>
        <w:kinsoku/>
        <w:wordWrap/>
        <w:overflowPunct/>
        <w:topLinePunct w:val="0"/>
        <w:autoSpaceDE/>
        <w:autoSpaceDN/>
        <w:bidi w:val="0"/>
        <w:adjustRightInd w:val="0"/>
        <w:snapToGrid w:val="0"/>
        <w:spacing w:line="400" w:lineRule="exact"/>
        <w:ind w:firstLine="210" w:firstLineChars="100"/>
        <w:jc w:val="both"/>
        <w:textAlignment w:val="auto"/>
        <w:outlineLvl w:val="9"/>
        <w:rPr>
          <w:rFonts w:hint="eastAsia" w:ascii="宋体" w:hAnsi="宋体"/>
          <w:color w:val="auto"/>
          <w:szCs w:val="21"/>
          <w:highlight w:val="none"/>
        </w:rPr>
      </w:pPr>
      <w:r>
        <w:rPr>
          <w:rFonts w:hint="eastAsia" w:ascii="宋体" w:hAnsi="宋体" w:eastAsia="宋体" w:cs="宋体"/>
          <w:color w:val="000000" w:themeColor="text1"/>
          <w:highlight w:val="none"/>
          <w14:textFill>
            <w14:solidFill>
              <w14:schemeClr w14:val="tx1"/>
            </w14:solidFill>
          </w14:textFill>
        </w:rPr>
        <w:t>□3.6面向中小企业招标的，投标人（或联合体中的中小企业）须为中小企业, 并提供《中小企业声明函》。</w:t>
      </w:r>
    </w:p>
    <w:p w14:paraId="07904D29">
      <w:pPr>
        <w:keepNext w:val="0"/>
        <w:keepLines w:val="0"/>
        <w:pageBreakBefore w:val="0"/>
        <w:kinsoku/>
        <w:overflowPunct/>
        <w:bidi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(二)拟派项目负责人、设计负责人、施工负责人：</w:t>
      </w:r>
    </w:p>
    <w:p w14:paraId="390CF8AF">
      <w:pPr>
        <w:keepNext w:val="0"/>
        <w:keepLines w:val="0"/>
        <w:pageBreakBefore w:val="0"/>
        <w:shd w:val="clear" w:color="auto" w:fill="FFFFFF"/>
        <w:kinsoku/>
        <w:overflowPunct/>
        <w:bidi w:val="0"/>
        <w:adjustRightInd w:val="0"/>
        <w:spacing w:line="400" w:lineRule="exact"/>
        <w:ind w:firstLine="420" w:firstLineChars="200"/>
        <w:jc w:val="left"/>
        <w:rPr>
          <w:rFonts w:ascii="宋体" w:hAnsi="Times New Roman" w:eastAsia="宋体" w:cs="Times New Roman"/>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7</w:t>
      </w:r>
      <w:r>
        <w:rPr>
          <w:rFonts w:hint="eastAsia" w:ascii="宋体" w:hAnsi="宋体"/>
          <w:color w:val="auto"/>
          <w:szCs w:val="21"/>
          <w:highlight w:val="none"/>
        </w:rPr>
        <w:t>拟派项目负责人</w:t>
      </w:r>
      <w:r>
        <w:rPr>
          <w:rFonts w:hint="eastAsia" w:ascii="宋体" w:hAnsi="Times New Roman" w:eastAsia="宋体" w:cs="Times New Roman"/>
          <w:color w:val="auto"/>
          <w:szCs w:val="21"/>
          <w:highlight w:val="none"/>
        </w:rPr>
        <w:t>须具备注册电气工程师或者具备机电工程专业</w:t>
      </w:r>
      <w:r>
        <w:rPr>
          <w:rFonts w:hint="eastAsia" w:ascii="宋体" w:cs="Times New Roman"/>
          <w:color w:val="auto"/>
          <w:szCs w:val="21"/>
          <w:highlight w:val="none"/>
          <w:lang w:eastAsia="zh-CN"/>
        </w:rPr>
        <w:t>一级</w:t>
      </w:r>
      <w:r>
        <w:rPr>
          <w:rFonts w:hint="eastAsia" w:ascii="宋体" w:hAnsi="Times New Roman" w:eastAsia="宋体" w:cs="Times New Roman"/>
          <w:color w:val="auto"/>
          <w:szCs w:val="21"/>
          <w:highlight w:val="none"/>
        </w:rPr>
        <w:t>注册建造师资格</w:t>
      </w:r>
      <w:r>
        <w:rPr>
          <w:rFonts w:hint="eastAsia" w:ascii="宋体" w:hAnsi="Times New Roman" w:eastAsia="宋体" w:cs="Times New Roman"/>
          <w:b/>
          <w:bCs/>
          <w:color w:val="auto"/>
          <w:szCs w:val="21"/>
          <w:highlight w:val="none"/>
        </w:rPr>
        <w:t>（采用联合体形式投标的，必须为联合体牵头人单位人员）</w:t>
      </w:r>
      <w:r>
        <w:rPr>
          <w:rFonts w:hint="eastAsia" w:ascii="宋体" w:hAnsi="Times New Roman" w:eastAsia="宋体" w:cs="Times New Roman"/>
          <w:color w:val="auto"/>
          <w:szCs w:val="21"/>
          <w:highlight w:val="none"/>
        </w:rPr>
        <w:t>，可以由设计负责人</w:t>
      </w:r>
      <w:bookmarkStart w:id="157" w:name="_GoBack"/>
      <w:bookmarkEnd w:id="157"/>
      <w:r>
        <w:rPr>
          <w:rFonts w:hint="eastAsia" w:ascii="宋体" w:hAnsi="Times New Roman" w:eastAsia="宋体" w:cs="Times New Roman"/>
          <w:color w:val="auto"/>
          <w:szCs w:val="21"/>
          <w:highlight w:val="none"/>
        </w:rPr>
        <w:t>兼任</w:t>
      </w:r>
      <w:r>
        <w:rPr>
          <w:rFonts w:hint="eastAsia" w:ascii="宋体" w:hAnsi="Times New Roman" w:eastAsia="宋体" w:cs="Times New Roman"/>
          <w:color w:val="auto"/>
          <w:szCs w:val="21"/>
          <w:highlight w:val="none"/>
          <w:lang w:eastAsia="zh-CN"/>
        </w:rPr>
        <w:t>；</w:t>
      </w:r>
      <w:r>
        <w:rPr>
          <w:rFonts w:ascii="宋体" w:hAnsi="Times New Roman" w:eastAsia="宋体" w:cs="Times New Roman"/>
          <w:color w:val="auto"/>
          <w:szCs w:val="21"/>
          <w:highlight w:val="none"/>
        </w:rPr>
        <w:t xml:space="preserve"> </w:t>
      </w:r>
    </w:p>
    <w:p w14:paraId="06E39BE2">
      <w:pPr>
        <w:keepNext w:val="0"/>
        <w:keepLines w:val="0"/>
        <w:pageBreakBefore w:val="0"/>
        <w:kinsoku/>
        <w:overflowPunct/>
        <w:bidi w:val="0"/>
        <w:spacing w:line="400" w:lineRule="exact"/>
        <w:ind w:firstLine="420" w:firstLineChars="200"/>
        <w:rPr>
          <w:rFonts w:hint="eastAsia" w:ascii="宋体" w:hAnsi="宋体"/>
          <w:b/>
          <w:bCs/>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8</w:t>
      </w:r>
      <w:r>
        <w:rPr>
          <w:rFonts w:hint="eastAsia" w:ascii="宋体" w:hAnsi="宋体"/>
          <w:color w:val="auto"/>
          <w:szCs w:val="21"/>
          <w:highlight w:val="none"/>
        </w:rPr>
        <w:t>拟派设计负责人</w:t>
      </w:r>
      <w:r>
        <w:rPr>
          <w:rFonts w:hint="eastAsia" w:ascii="宋体" w:hAnsi="Times New Roman" w:eastAsia="宋体" w:cs="Times New Roman"/>
          <w:color w:val="auto"/>
          <w:szCs w:val="21"/>
          <w:highlight w:val="none"/>
        </w:rPr>
        <w:t>须具备注册电气工程师</w:t>
      </w:r>
      <w:r>
        <w:rPr>
          <w:rFonts w:hint="eastAsia" w:ascii="宋体" w:hAnsi="宋体" w:eastAsia="宋体" w:cs="宋体"/>
          <w:color w:val="auto"/>
          <w:szCs w:val="21"/>
        </w:rPr>
        <w:t>或电气类工程师及以上职称</w:t>
      </w:r>
      <w:r>
        <w:rPr>
          <w:rFonts w:hint="eastAsia" w:ascii="宋体" w:hAnsi="宋体"/>
          <w:color w:val="auto"/>
          <w:szCs w:val="21"/>
          <w:highlight w:val="none"/>
        </w:rPr>
        <w:t>。</w:t>
      </w:r>
      <w:r>
        <w:rPr>
          <w:rFonts w:hint="eastAsia" w:ascii="宋体" w:hAnsi="宋体"/>
          <w:b/>
          <w:bCs/>
          <w:color w:val="auto"/>
          <w:szCs w:val="21"/>
          <w:highlight w:val="none"/>
        </w:rPr>
        <w:t>(联合体投标的，设计负责人须由承担设计工作的联合体成员委派)</w:t>
      </w:r>
      <w:r>
        <w:rPr>
          <w:rFonts w:hint="eastAsia" w:ascii="宋体" w:hAnsi="宋体"/>
          <w:color w:val="auto"/>
          <w:szCs w:val="21"/>
          <w:highlight w:val="none"/>
        </w:rPr>
        <w:t>；</w:t>
      </w:r>
    </w:p>
    <w:p w14:paraId="1B594E48">
      <w:pPr>
        <w:keepNext w:val="0"/>
        <w:keepLines w:val="0"/>
        <w:pageBreakBefore w:val="0"/>
        <w:kinsoku/>
        <w:overflowPunct/>
        <w:bidi w:val="0"/>
        <w:spacing w:line="400" w:lineRule="exact"/>
        <w:ind w:firstLine="210" w:firstLineChars="100"/>
        <w:rPr>
          <w:rFonts w:hint="eastAsia" w:ascii="宋体" w:hAnsi="宋体"/>
          <w:color w:val="auto"/>
          <w:szCs w:val="21"/>
          <w:highlight w:val="none"/>
        </w:rPr>
      </w:pPr>
      <w:r>
        <w:rPr>
          <w:rFonts w:hint="eastAsia" w:ascii="宋体" w:hAnsi="宋体" w:eastAsia="宋体" w:cs="宋体"/>
          <w:color w:val="auto"/>
          <w:highlight w:val="none"/>
          <w:lang w:eastAsia="zh-CN"/>
        </w:rPr>
        <w:t>☑</w:t>
      </w:r>
      <w:r>
        <w:rPr>
          <w:rFonts w:hint="eastAsia" w:ascii="宋体" w:hAnsi="宋体"/>
          <w:color w:val="auto"/>
          <w:szCs w:val="21"/>
          <w:highlight w:val="none"/>
        </w:rPr>
        <w:t>3.</w:t>
      </w:r>
      <w:r>
        <w:rPr>
          <w:rFonts w:hint="eastAsia" w:ascii="宋体" w:hAnsi="宋体"/>
          <w:color w:val="auto"/>
          <w:szCs w:val="21"/>
          <w:highlight w:val="none"/>
          <w:lang w:val="en-US" w:eastAsia="zh-CN"/>
        </w:rPr>
        <w:t>9</w:t>
      </w:r>
      <w:r>
        <w:rPr>
          <w:rFonts w:hint="eastAsia" w:ascii="宋体" w:hAnsi="宋体"/>
          <w:color w:val="auto"/>
          <w:szCs w:val="21"/>
          <w:highlight w:val="none"/>
        </w:rPr>
        <w:t>拟派施工负责人具有注册在投标人单位的机电工程专业</w:t>
      </w:r>
      <w:r>
        <w:rPr>
          <w:rFonts w:hint="eastAsia" w:ascii="宋体" w:hAnsi="宋体"/>
          <w:color w:val="auto"/>
          <w:szCs w:val="21"/>
          <w:highlight w:val="none"/>
          <w:lang w:eastAsia="zh-CN"/>
        </w:rPr>
        <w:t>一级</w:t>
      </w:r>
      <w:r>
        <w:rPr>
          <w:rFonts w:hint="eastAsia" w:ascii="宋体" w:hAnsi="宋体"/>
          <w:color w:val="auto"/>
          <w:szCs w:val="21"/>
          <w:highlight w:val="none"/>
        </w:rPr>
        <w:t>注册建造师资格（不含临时执业证书），并具有有效的安全生产考核合格证书；</w:t>
      </w:r>
      <w:r>
        <w:rPr>
          <w:rFonts w:hint="eastAsia" w:ascii="宋体" w:hAnsi="宋体"/>
          <w:b/>
          <w:bCs/>
          <w:color w:val="auto"/>
          <w:szCs w:val="21"/>
          <w:highlight w:val="none"/>
        </w:rPr>
        <w:t>(联合体投标的，施工负责人须由承担施工工作的联合体成员委派)</w:t>
      </w:r>
      <w:r>
        <w:rPr>
          <w:rFonts w:hint="eastAsia" w:ascii="宋体" w:hAnsi="宋体"/>
          <w:color w:val="auto"/>
          <w:szCs w:val="21"/>
          <w:highlight w:val="none"/>
        </w:rPr>
        <w:t>；</w:t>
      </w:r>
    </w:p>
    <w:p w14:paraId="6953FF4D">
      <w:pPr>
        <w:keepNext w:val="0"/>
        <w:keepLines w:val="0"/>
        <w:pageBreakBefore w:val="0"/>
        <w:kinsoku/>
        <w:overflowPunct/>
        <w:bidi w:val="0"/>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10</w:t>
      </w:r>
      <w:r>
        <w:rPr>
          <w:rFonts w:hint="eastAsia" w:ascii="宋体" w:hAnsi="宋体"/>
          <w:color w:val="auto"/>
          <w:szCs w:val="21"/>
          <w:highlight w:val="none"/>
        </w:rPr>
        <w:t>如拟派项目负责人或施工负责人在投标截止日存在在其他任何在建合同工程(在建合同工程的开始时间为合同工程中标通知书发出日期，或者不通过招标方式的则以合同签订日期为开始时间，结束时间为该合同工程验收合格或合同解除日期)担任工程总承包项目负责人、施工负责人(含工程总承包项目中担任施工负责人)的，不得以拟派项目负责人或施工负责人的身份参加本次投标；</w:t>
      </w:r>
    </w:p>
    <w:p w14:paraId="6C0438E6">
      <w:pPr>
        <w:keepNext w:val="0"/>
        <w:keepLines w:val="0"/>
        <w:pageBreakBefore w:val="0"/>
        <w:kinsoku/>
        <w:overflowPunct/>
        <w:bidi w:val="0"/>
        <w:spacing w:line="400" w:lineRule="exact"/>
        <w:ind w:firstLine="210" w:firstLineChars="100"/>
        <w:rPr>
          <w:rFonts w:hint="eastAsia" w:cs="宋体"/>
          <w:b/>
          <w:bCs/>
          <w:color w:val="auto"/>
          <w:szCs w:val="21"/>
          <w:highlight w:val="none"/>
          <w:u w:val="single"/>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cs="宋体"/>
          <w:b/>
          <w:bCs/>
          <w:color w:val="auto"/>
          <w:szCs w:val="21"/>
          <w:highlight w:val="none"/>
          <w:lang w:val="en-US" w:eastAsia="zh-CN"/>
        </w:rPr>
        <w:t>3.11</w:t>
      </w:r>
      <w:r>
        <w:rPr>
          <w:rFonts w:hint="eastAsia" w:cs="宋体"/>
          <w:b/>
          <w:bCs/>
          <w:color w:val="auto"/>
          <w:szCs w:val="21"/>
          <w:highlight w:val="none"/>
        </w:rPr>
        <w:t>注：</w:t>
      </w:r>
      <w:r>
        <w:rPr>
          <w:rFonts w:hint="eastAsia" w:cs="宋体"/>
          <w:b/>
          <w:bCs/>
          <w:color w:val="auto"/>
          <w:szCs w:val="21"/>
          <w:highlight w:val="none"/>
          <w:u w:val="single"/>
        </w:rPr>
        <w:t>在满足相应执业资格前提下，项目负责人与设计负责人可以相互兼任，但设计负责人与施工负责人不能为同一人。</w:t>
      </w:r>
    </w:p>
    <w:p w14:paraId="1971845D">
      <w:pPr>
        <w:keepNext w:val="0"/>
        <w:keepLines w:val="0"/>
        <w:pageBreakBefore w:val="0"/>
        <w:widowControl w:val="0"/>
        <w:kinsoku/>
        <w:wordWrap/>
        <w:overflowPunct/>
        <w:topLinePunct w:val="0"/>
        <w:autoSpaceDE/>
        <w:autoSpaceDN/>
        <w:bidi w:val="0"/>
        <w:adjustRightInd w:val="0"/>
        <w:snapToGrid w:val="0"/>
        <w:spacing w:line="400" w:lineRule="exact"/>
        <w:ind w:firstLine="422" w:firstLineChars="200"/>
        <w:jc w:val="both"/>
        <w:textAlignment w:val="auto"/>
        <w:outlineLvl w:val="9"/>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（三）其他：</w:t>
      </w:r>
    </w:p>
    <w:p w14:paraId="580409E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3.12专职安全生产管理人员具有对应有效的安全生产考核合格证书，配备人数</w:t>
      </w:r>
      <w:r>
        <w:rPr>
          <w:rFonts w:hint="eastAsia" w:ascii="宋体" w:hAnsi="宋体" w:eastAsia="宋体" w:cs="宋体"/>
          <w:color w:val="000000" w:themeColor="text1"/>
          <w:highlight w:val="none"/>
          <w:u w:val="singl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个</w:t>
      </w:r>
      <w:r>
        <w:rPr>
          <w:rFonts w:hint="eastAsia" w:ascii="宋体" w:hAnsi="宋体" w:eastAsia="宋体" w:cs="宋体"/>
          <w:color w:val="000000" w:themeColor="text1"/>
          <w:highlight w:val="none"/>
          <w:lang w:eastAsia="zh-CN"/>
          <w14:textFill>
            <w14:solidFill>
              <w14:schemeClr w14:val="tx1"/>
            </w14:solidFill>
          </w14:textFill>
        </w:rPr>
        <w:t>。联合体投标的，专职安全生产管理人员须由承担施工工作的联合体成员委派；</w:t>
      </w:r>
    </w:p>
    <w:p w14:paraId="74457CA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3.13投标人及其拟派项目负责人、施工负责人、设计负责人未被列入建筑市场失信黑名单（以全国建筑市场监管公共服务平台黑名单记录、失信联合惩戒记录和浙江省建筑市场监管公共服务系统严重失信名单的信息为准）；</w:t>
      </w:r>
    </w:p>
    <w:p w14:paraId="00C9D48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3.14投标人及其拟派项目负责人、施工负责人、设计负责人自</w:t>
      </w:r>
      <w:r>
        <w:rPr>
          <w:rFonts w:hint="eastAsia" w:ascii="宋体" w:hAnsi="宋体" w:eastAsia="宋体" w:cs="宋体"/>
          <w:color w:val="000000" w:themeColor="text1"/>
          <w:highlight w:val="none"/>
          <w:u w:val="single"/>
          <w:lang w:val="en-US" w:eastAsia="zh-CN"/>
          <w14:textFill>
            <w14:solidFill>
              <w14:schemeClr w14:val="tx1"/>
            </w14:solidFill>
          </w14:textFill>
        </w:rPr>
        <w:t>2021</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1 </w:t>
      </w:r>
      <w:r>
        <w:rPr>
          <w:rFonts w:hint="eastAsia" w:ascii="宋体" w:hAnsi="宋体" w:eastAsia="宋体" w:cs="宋体"/>
          <w:color w:val="000000" w:themeColor="text1"/>
          <w:highlight w:val="none"/>
          <w14:textFill>
            <w14:solidFill>
              <w14:schemeClr w14:val="tx1"/>
            </w14:solidFill>
          </w14:textFill>
        </w:rPr>
        <w:t>日起至投标截止日止无行贿犯罪记录；</w:t>
      </w:r>
    </w:p>
    <w:p w14:paraId="30FEFF13">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3.15投标人及其拟派项目负责人、施工负责人、设计负责人自</w:t>
      </w:r>
      <w:r>
        <w:rPr>
          <w:rFonts w:hint="eastAsia" w:ascii="宋体" w:hAnsi="宋体" w:eastAsia="宋体" w:cs="宋体"/>
          <w:color w:val="000000" w:themeColor="text1"/>
          <w:highlight w:val="none"/>
          <w:u w:val="single"/>
          <w:lang w:val="en-US" w:eastAsia="zh-CN"/>
          <w14:textFill>
            <w14:solidFill>
              <w14:schemeClr w14:val="tx1"/>
            </w14:solidFill>
          </w14:textFill>
        </w:rPr>
        <w:t>2021</w:t>
      </w:r>
      <w:r>
        <w:rPr>
          <w:rFonts w:hint="eastAsia" w:ascii="宋体" w:hAnsi="宋体" w:eastAsia="宋体" w:cs="宋体"/>
          <w:color w:val="000000" w:themeColor="text1"/>
          <w:highlight w:val="none"/>
          <w14:textFill>
            <w14:solidFill>
              <w14:schemeClr w14:val="tx1"/>
            </w14:solidFill>
          </w14:textFill>
        </w:rPr>
        <w:t>年</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14:textFill>
            <w14:solidFill>
              <w14:schemeClr w14:val="tx1"/>
            </w14:solidFill>
          </w14:textFill>
        </w:rPr>
        <w:t>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1 </w:t>
      </w:r>
      <w:r>
        <w:rPr>
          <w:rFonts w:hint="eastAsia" w:ascii="宋体" w:hAnsi="宋体" w:eastAsia="宋体" w:cs="宋体"/>
          <w:color w:val="000000" w:themeColor="text1"/>
          <w:highlight w:val="none"/>
          <w14:textFill>
            <w14:solidFill>
              <w14:schemeClr w14:val="tx1"/>
            </w14:solidFill>
          </w14:textFill>
        </w:rPr>
        <w:t>日起至投标截止日止未被列入失信被执行人名单；</w:t>
      </w:r>
    </w:p>
    <w:p w14:paraId="2394997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3.16投标人及</w:t>
      </w:r>
      <w:r>
        <w:rPr>
          <w:rFonts w:hint="eastAsia" w:ascii="宋体" w:hAnsi="宋体" w:eastAsia="宋体" w:cs="宋体"/>
          <w:color w:val="000000" w:themeColor="text1"/>
          <w:szCs w:val="21"/>
          <w:highlight w:val="none"/>
          <w:lang w:val="zh-CN"/>
          <w14:textFill>
            <w14:solidFill>
              <w14:schemeClr w14:val="tx1"/>
            </w14:solidFill>
          </w14:textFill>
        </w:rPr>
        <w:t>其拟派项目负责人</w:t>
      </w:r>
      <w:r>
        <w:rPr>
          <w:rFonts w:hint="eastAsia" w:ascii="宋体" w:hAnsi="宋体" w:eastAsia="宋体" w:cs="宋体"/>
          <w:color w:val="000000" w:themeColor="text1"/>
          <w:highlight w:val="none"/>
          <w14:textFill>
            <w14:solidFill>
              <w14:schemeClr w14:val="tx1"/>
            </w14:solidFill>
          </w14:textFill>
        </w:rPr>
        <w:t>未被市场监督管理机关在全国企业信用信息公示系统中列入严重违法失信企业名单；</w:t>
      </w:r>
    </w:p>
    <w:p w14:paraId="1459CFF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3.17投标人及其拟派项目负责人未被人力资源社会保障行政部门列入失信联合惩戒名单（有效期内）并共享至信用信息共享平台；</w:t>
      </w:r>
    </w:p>
    <w:p w14:paraId="5B64F23E">
      <w:pPr>
        <w:keepNext w:val="0"/>
        <w:keepLines w:val="0"/>
        <w:pageBreakBefore w:val="0"/>
        <w:widowControl w:val="0"/>
        <w:kinsoku/>
        <w:wordWrap/>
        <w:overflowPunct/>
        <w:topLinePunct w:val="0"/>
        <w:autoSpaceDE/>
        <w:autoSpaceDN/>
        <w:bidi w:val="0"/>
        <w:spacing w:line="400" w:lineRule="exact"/>
        <w:ind w:firstLine="422" w:firstLineChars="200"/>
        <w:textAlignment w:val="auto"/>
        <w:rPr>
          <w:rFonts w:hint="eastAsia" w:ascii="宋体" w:hAnsi="宋体" w:eastAsia="宋体" w:cs="宋体"/>
          <w:b/>
          <w:bCs/>
          <w:color w:val="000000" w:themeColor="text1"/>
          <w:szCs w:val="21"/>
          <w:highlight w:val="green"/>
          <w:shd w:val="clear" w:color="auto" w:fill="auto"/>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3.18</w:t>
      </w:r>
      <w:r>
        <w:rPr>
          <w:rFonts w:hint="eastAsia" w:ascii="宋体" w:hAnsi="宋体" w:eastAsia="宋体" w:cs="宋体"/>
          <w:b/>
          <w:bCs/>
          <w:color w:val="auto"/>
          <w:kern w:val="2"/>
          <w:sz w:val="21"/>
          <w:szCs w:val="24"/>
          <w:highlight w:val="none"/>
          <w:lang w:val="en-US" w:eastAsia="zh-CN" w:bidi="ar-SA"/>
        </w:rPr>
        <w:t>省外施工企业须提供“浙江省建筑市场监管公共服务系统备案信息截图”或仍在有效期内的浙江省住房和城乡建设厅出具的《省外企业进浙承接业务备案证明》；省外设计单位须提供“浙江省勘察设计行业四库一平台信息系统备案信息截图”或持有仍在有效期内的浙江省住建厅出具的《外省工程勘察设计企业进浙承接业务备案证书》。</w:t>
      </w:r>
    </w:p>
    <w:p w14:paraId="4DF3F4AE">
      <w:pPr>
        <w:keepNext w:val="0"/>
        <w:keepLines w:val="0"/>
        <w:pageBreakBefore w:val="0"/>
        <w:kinsoku/>
        <w:overflowPunct/>
        <w:bidi w:val="0"/>
        <w:spacing w:line="400" w:lineRule="exact"/>
        <w:ind w:firstLine="210" w:firstLineChars="100"/>
        <w:rPr>
          <w:rFonts w:hint="default"/>
          <w:b/>
          <w:bCs/>
          <w:color w:val="000000" w:themeColor="text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b w:val="0"/>
          <w:bCs w:val="0"/>
          <w:color w:val="000000" w:themeColor="text1"/>
          <w:szCs w:val="21"/>
          <w:highlight w:val="none"/>
          <w:shd w:val="clear" w:color="auto" w:fill="auto"/>
          <w:lang w:val="en-US" w:eastAsia="zh-CN"/>
          <w14:textFill>
            <w14:solidFill>
              <w14:schemeClr w14:val="tx1"/>
            </w14:solidFill>
          </w14:textFill>
        </w:rPr>
        <w:t>3.19</w:t>
      </w:r>
      <w:r>
        <w:rPr>
          <w:rFonts w:hint="eastAsia" w:ascii="宋体" w:hAnsi="宋体" w:cs="宋体"/>
          <w:b w:val="0"/>
          <w:bCs w:val="0"/>
          <w:color w:val="000000" w:themeColor="text1"/>
          <w:szCs w:val="21"/>
          <w:highlight w:val="none"/>
          <w14:textFill>
            <w14:solidFill>
              <w14:schemeClr w14:val="tx1"/>
            </w14:solidFill>
          </w14:textFill>
        </w:rPr>
        <w:t>项</w:t>
      </w:r>
      <w:r>
        <w:rPr>
          <w:rFonts w:hint="eastAsia" w:ascii="宋体" w:hAnsi="宋体" w:cs="宋体"/>
          <w:color w:val="000000" w:themeColor="text1"/>
          <w:szCs w:val="21"/>
          <w:highlight w:val="none"/>
          <w14:textFill>
            <w14:solidFill>
              <w14:schemeClr w14:val="tx1"/>
            </w14:solidFill>
          </w14:textFill>
        </w:rPr>
        <w:t>目班子</w:t>
      </w:r>
      <w:r>
        <w:rPr>
          <w:rFonts w:hint="eastAsia" w:ascii="宋体" w:hAnsi="宋体" w:eastAsia="宋体" w:cs="宋体"/>
          <w:color w:val="000000" w:themeColor="text1"/>
          <w:szCs w:val="21"/>
          <w:highlight w:val="none"/>
          <w:lang w:eastAsia="zh-CN"/>
          <w14:textFill>
            <w14:solidFill>
              <w14:schemeClr w14:val="tx1"/>
            </w14:solidFill>
          </w14:textFill>
        </w:rPr>
        <w:t>成员</w:t>
      </w:r>
      <w:r>
        <w:rPr>
          <w:rFonts w:hint="eastAsia" w:ascii="宋体" w:hAnsi="宋体" w:cs="宋体"/>
          <w:color w:val="000000" w:themeColor="text1"/>
          <w:szCs w:val="21"/>
          <w:highlight w:val="none"/>
          <w14:textFill>
            <w14:solidFill>
              <w14:schemeClr w14:val="tx1"/>
            </w14:solidFill>
          </w14:textFill>
        </w:rPr>
        <w:t>最低配备要求：</w:t>
      </w:r>
    </w:p>
    <w:tbl>
      <w:tblPr>
        <w:tblStyle w:val="24"/>
        <w:tblW w:w="9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2015"/>
        <w:gridCol w:w="690"/>
        <w:gridCol w:w="4950"/>
        <w:gridCol w:w="1301"/>
      </w:tblGrid>
      <w:tr w14:paraId="0EA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7" w:type="dxa"/>
            <w:noWrap w:val="0"/>
            <w:vAlign w:val="center"/>
          </w:tcPr>
          <w:p w14:paraId="759CEB3E">
            <w:pPr>
              <w:keepNext w:val="0"/>
              <w:keepLines w:val="0"/>
              <w:pageBreakBefore w:val="0"/>
              <w:kinsoku/>
              <w:overflowPunct/>
              <w:bidi w:val="0"/>
              <w:spacing w:line="400" w:lineRule="exact"/>
              <w:jc w:val="center"/>
              <w:rPr>
                <w:rFonts w:hint="eastAsia" w:ascii="宋体" w:hAnsi="宋体" w:cs="宋体"/>
                <w:b/>
                <w:bCs/>
                <w:szCs w:val="21"/>
              </w:rPr>
            </w:pPr>
            <w:r>
              <w:rPr>
                <w:rFonts w:hint="eastAsia" w:ascii="宋体" w:hAnsi="宋体" w:cs="宋体"/>
                <w:b/>
                <w:bCs/>
                <w:szCs w:val="21"/>
              </w:rPr>
              <w:t>序号</w:t>
            </w:r>
          </w:p>
        </w:tc>
        <w:tc>
          <w:tcPr>
            <w:tcW w:w="2015" w:type="dxa"/>
            <w:noWrap w:val="0"/>
            <w:vAlign w:val="center"/>
          </w:tcPr>
          <w:p w14:paraId="7A2B6185">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岗位</w:t>
            </w:r>
          </w:p>
        </w:tc>
        <w:tc>
          <w:tcPr>
            <w:tcW w:w="690" w:type="dxa"/>
            <w:noWrap w:val="0"/>
            <w:vAlign w:val="center"/>
          </w:tcPr>
          <w:p w14:paraId="375F584D">
            <w:pPr>
              <w:keepNext w:val="0"/>
              <w:keepLines w:val="0"/>
              <w:pageBreakBefore w:val="0"/>
              <w:kinsoku/>
              <w:overflowPunct/>
              <w:bidi w:val="0"/>
              <w:spacing w:line="400" w:lineRule="exact"/>
              <w:jc w:val="center"/>
              <w:rPr>
                <w:rFonts w:hint="eastAsia" w:ascii="宋体" w:hAnsi="宋体" w:cs="宋体"/>
                <w:b/>
                <w:bCs/>
                <w:color w:val="auto"/>
                <w:spacing w:val="-18"/>
                <w:szCs w:val="21"/>
              </w:rPr>
            </w:pPr>
            <w:r>
              <w:rPr>
                <w:rFonts w:hint="eastAsia" w:ascii="宋体" w:hAnsi="宋体" w:cs="宋体"/>
                <w:b/>
                <w:bCs/>
                <w:color w:val="auto"/>
                <w:spacing w:val="-18"/>
                <w:szCs w:val="21"/>
              </w:rPr>
              <w:t>配备</w:t>
            </w:r>
          </w:p>
          <w:p w14:paraId="73770A86">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pacing w:val="-18"/>
                <w:szCs w:val="21"/>
              </w:rPr>
              <w:t>人数</w:t>
            </w:r>
          </w:p>
        </w:tc>
        <w:tc>
          <w:tcPr>
            <w:tcW w:w="4950" w:type="dxa"/>
            <w:noWrap w:val="0"/>
            <w:vAlign w:val="center"/>
          </w:tcPr>
          <w:p w14:paraId="19FB57FE">
            <w:pPr>
              <w:keepNext w:val="0"/>
              <w:keepLines w:val="0"/>
              <w:pageBreakBefore w:val="0"/>
              <w:kinsoku/>
              <w:overflowPunct/>
              <w:bidi w:val="0"/>
              <w:spacing w:line="400" w:lineRule="exact"/>
              <w:jc w:val="center"/>
              <w:rPr>
                <w:rFonts w:hint="default" w:ascii="宋体" w:hAnsi="宋体" w:eastAsia="宋体" w:cs="宋体"/>
                <w:b/>
                <w:bCs/>
                <w:color w:val="auto"/>
                <w:szCs w:val="21"/>
                <w:lang w:val="en-US" w:eastAsia="zh-CN"/>
              </w:rPr>
            </w:pPr>
            <w:r>
              <w:rPr>
                <w:rFonts w:hint="eastAsia" w:ascii="宋体" w:hAnsi="宋体" w:eastAsia="宋体" w:cs="宋体"/>
                <w:b/>
                <w:bCs/>
                <w:color w:val="auto"/>
                <w:spacing w:val="-18"/>
                <w:szCs w:val="21"/>
              </w:rPr>
              <w:t>资</w:t>
            </w:r>
            <w:r>
              <w:rPr>
                <w:rFonts w:hint="eastAsia" w:ascii="宋体" w:hAnsi="宋体" w:eastAsia="宋体" w:cs="宋体"/>
                <w:b/>
                <w:bCs/>
                <w:color w:val="auto"/>
                <w:spacing w:val="-18"/>
                <w:szCs w:val="21"/>
                <w:lang w:val="en-US" w:eastAsia="zh-CN"/>
              </w:rPr>
              <w:t xml:space="preserve"> </w:t>
            </w:r>
            <w:r>
              <w:rPr>
                <w:rFonts w:hint="eastAsia" w:ascii="宋体" w:hAnsi="宋体" w:eastAsia="宋体" w:cs="宋体"/>
                <w:b/>
                <w:bCs/>
                <w:color w:val="auto"/>
                <w:spacing w:val="-18"/>
                <w:szCs w:val="21"/>
              </w:rPr>
              <w:t>格</w:t>
            </w:r>
            <w:r>
              <w:rPr>
                <w:rFonts w:hint="eastAsia" w:ascii="宋体" w:hAnsi="宋体" w:eastAsia="宋体" w:cs="宋体"/>
                <w:b/>
                <w:bCs/>
                <w:color w:val="auto"/>
                <w:spacing w:val="-18"/>
                <w:szCs w:val="21"/>
                <w:lang w:val="en-US" w:eastAsia="zh-CN"/>
              </w:rPr>
              <w:t xml:space="preserve"> </w:t>
            </w:r>
            <w:r>
              <w:rPr>
                <w:rFonts w:hint="eastAsia" w:ascii="宋体" w:hAnsi="宋体" w:eastAsia="宋体" w:cs="宋体"/>
                <w:b/>
                <w:bCs/>
                <w:color w:val="auto"/>
                <w:spacing w:val="-18"/>
                <w:szCs w:val="21"/>
              </w:rPr>
              <w:t>要</w:t>
            </w:r>
            <w:r>
              <w:rPr>
                <w:rFonts w:hint="eastAsia" w:ascii="宋体" w:hAnsi="宋体" w:eastAsia="宋体" w:cs="宋体"/>
                <w:b/>
                <w:bCs/>
                <w:color w:val="auto"/>
                <w:spacing w:val="-18"/>
                <w:szCs w:val="21"/>
                <w:lang w:val="en-US" w:eastAsia="zh-CN"/>
              </w:rPr>
              <w:t xml:space="preserve"> </w:t>
            </w:r>
            <w:r>
              <w:rPr>
                <w:rFonts w:hint="eastAsia" w:ascii="宋体" w:hAnsi="宋体" w:eastAsia="宋体" w:cs="宋体"/>
                <w:b/>
                <w:bCs/>
                <w:color w:val="auto"/>
                <w:spacing w:val="-18"/>
                <w:szCs w:val="21"/>
              </w:rPr>
              <w:t>求</w:t>
            </w:r>
          </w:p>
        </w:tc>
        <w:tc>
          <w:tcPr>
            <w:tcW w:w="1301" w:type="dxa"/>
            <w:noWrap w:val="0"/>
            <w:vAlign w:val="center"/>
          </w:tcPr>
          <w:p w14:paraId="73EFC3DE">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到位时间</w:t>
            </w:r>
          </w:p>
          <w:p w14:paraId="48DE3771">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要求</w:t>
            </w:r>
          </w:p>
        </w:tc>
      </w:tr>
      <w:tr w14:paraId="2034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7" w:type="dxa"/>
            <w:noWrap w:val="0"/>
            <w:vAlign w:val="center"/>
          </w:tcPr>
          <w:p w14:paraId="776F6708">
            <w:pPr>
              <w:keepNext w:val="0"/>
              <w:keepLines w:val="0"/>
              <w:pageBreakBefore w:val="0"/>
              <w:kinsoku/>
              <w:overflowPunct/>
              <w:bidi w:val="0"/>
              <w:spacing w:line="400" w:lineRule="exact"/>
              <w:jc w:val="center"/>
              <w:rPr>
                <w:rFonts w:hint="eastAsia" w:ascii="宋体" w:hAnsi="宋体" w:eastAsia="宋体" w:cs="宋体"/>
                <w:b/>
                <w:bCs/>
                <w:szCs w:val="21"/>
                <w:highlight w:val="yellow"/>
                <w:lang w:eastAsia="zh-CN"/>
              </w:rPr>
            </w:pPr>
            <w:r>
              <w:rPr>
                <w:rFonts w:hint="eastAsia" w:ascii="宋体" w:hAnsi="宋体" w:cs="宋体"/>
                <w:b/>
                <w:bCs/>
                <w:szCs w:val="21"/>
                <w:lang w:val="en-US" w:eastAsia="zh-CN"/>
              </w:rPr>
              <w:t>1</w:t>
            </w:r>
          </w:p>
        </w:tc>
        <w:tc>
          <w:tcPr>
            <w:tcW w:w="2015" w:type="dxa"/>
            <w:noWrap w:val="0"/>
            <w:vAlign w:val="center"/>
          </w:tcPr>
          <w:p w14:paraId="4B0CE9E2">
            <w:pPr>
              <w:keepNext w:val="0"/>
              <w:keepLines w:val="0"/>
              <w:pageBreakBefore w:val="0"/>
              <w:kinsoku/>
              <w:overflowPunct/>
              <w:bidi w:val="0"/>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项目总负责人</w:t>
            </w:r>
          </w:p>
        </w:tc>
        <w:tc>
          <w:tcPr>
            <w:tcW w:w="690" w:type="dxa"/>
            <w:noWrap w:val="0"/>
            <w:vAlign w:val="center"/>
          </w:tcPr>
          <w:p w14:paraId="436CF03D">
            <w:pPr>
              <w:keepNext w:val="0"/>
              <w:keepLines w:val="0"/>
              <w:pageBreakBefore w:val="0"/>
              <w:kinsoku/>
              <w:overflowPunct/>
              <w:bidi w:val="0"/>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4950" w:type="dxa"/>
            <w:noWrap w:val="0"/>
            <w:vAlign w:val="center"/>
          </w:tcPr>
          <w:p w14:paraId="4C1D6B57">
            <w:pPr>
              <w:keepNext w:val="0"/>
              <w:keepLines w:val="0"/>
              <w:pageBreakBefore w:val="0"/>
              <w:kinsoku/>
              <w:overflowPunct/>
              <w:bidi w:val="0"/>
              <w:spacing w:line="400" w:lineRule="exact"/>
              <w:jc w:val="center"/>
              <w:rPr>
                <w:rFonts w:hint="eastAsia" w:ascii="宋体" w:hAnsi="宋体" w:cs="宋体"/>
                <w:b/>
                <w:bCs/>
                <w:color w:val="auto"/>
                <w:szCs w:val="21"/>
                <w:highlight w:val="none"/>
              </w:rPr>
            </w:pPr>
            <w:r>
              <w:rPr>
                <w:rFonts w:hint="eastAsia" w:ascii="宋体" w:hAnsi="宋体" w:eastAsia="宋体" w:cs="宋体"/>
                <w:b/>
                <w:bCs/>
                <w:szCs w:val="21"/>
                <w:highlight w:val="none"/>
              </w:rPr>
              <w:t>具备注册电气工程师</w:t>
            </w:r>
            <w:r>
              <w:rPr>
                <w:rFonts w:hint="eastAsia" w:ascii="宋体" w:hAnsi="Times New Roman" w:eastAsia="宋体" w:cs="Times New Roman"/>
                <w:b/>
                <w:bCs/>
                <w:szCs w:val="21"/>
                <w:highlight w:val="none"/>
              </w:rPr>
              <w:t>或者具备机电工程专业</w:t>
            </w:r>
            <w:r>
              <w:rPr>
                <w:rFonts w:hint="eastAsia" w:ascii="宋体" w:cs="Times New Roman"/>
                <w:b/>
                <w:bCs/>
                <w:szCs w:val="21"/>
                <w:highlight w:val="none"/>
                <w:lang w:eastAsia="zh-CN"/>
              </w:rPr>
              <w:t>一级</w:t>
            </w:r>
            <w:r>
              <w:rPr>
                <w:rFonts w:hint="eastAsia" w:ascii="宋体" w:hAnsi="Times New Roman" w:eastAsia="宋体" w:cs="Times New Roman"/>
                <w:b/>
                <w:bCs/>
                <w:szCs w:val="21"/>
                <w:highlight w:val="none"/>
              </w:rPr>
              <w:t>注册建造师资格</w:t>
            </w:r>
          </w:p>
        </w:tc>
        <w:tc>
          <w:tcPr>
            <w:tcW w:w="1301" w:type="dxa"/>
            <w:noWrap w:val="0"/>
            <w:vAlign w:val="center"/>
          </w:tcPr>
          <w:p w14:paraId="797E918A">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全过程</w:t>
            </w:r>
          </w:p>
        </w:tc>
      </w:tr>
      <w:tr w14:paraId="15E7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27" w:type="dxa"/>
            <w:noWrap w:val="0"/>
            <w:vAlign w:val="center"/>
          </w:tcPr>
          <w:p w14:paraId="23B27EEB">
            <w:pPr>
              <w:keepNext w:val="0"/>
              <w:keepLines w:val="0"/>
              <w:pageBreakBefore w:val="0"/>
              <w:kinsoku/>
              <w:overflowPunct/>
              <w:bidi w:val="0"/>
              <w:spacing w:line="400" w:lineRule="exact"/>
              <w:jc w:val="center"/>
              <w:rPr>
                <w:rFonts w:hint="eastAsia" w:ascii="宋体" w:hAnsi="宋体" w:eastAsia="宋体" w:cs="宋体"/>
                <w:b/>
                <w:bCs/>
                <w:color w:val="000000"/>
                <w:szCs w:val="21"/>
                <w:lang w:eastAsia="zh-CN"/>
              </w:rPr>
            </w:pPr>
            <w:r>
              <w:rPr>
                <w:rFonts w:hint="eastAsia" w:ascii="宋体" w:hAnsi="宋体" w:cs="宋体"/>
                <w:b/>
                <w:bCs/>
                <w:color w:val="000000"/>
                <w:szCs w:val="21"/>
                <w:lang w:val="en-US" w:eastAsia="zh-CN"/>
              </w:rPr>
              <w:t>2</w:t>
            </w:r>
          </w:p>
        </w:tc>
        <w:tc>
          <w:tcPr>
            <w:tcW w:w="2015" w:type="dxa"/>
            <w:noWrap w:val="0"/>
            <w:vAlign w:val="center"/>
          </w:tcPr>
          <w:p w14:paraId="1CC13EAA">
            <w:pPr>
              <w:keepNext w:val="0"/>
              <w:keepLines w:val="0"/>
              <w:pageBreakBefore w:val="0"/>
              <w:kinsoku/>
              <w:overflowPunct/>
              <w:bidi w:val="0"/>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设计负责人</w:t>
            </w:r>
          </w:p>
        </w:tc>
        <w:tc>
          <w:tcPr>
            <w:tcW w:w="690" w:type="dxa"/>
            <w:noWrap w:val="0"/>
            <w:vAlign w:val="center"/>
          </w:tcPr>
          <w:p w14:paraId="1A943D30">
            <w:pPr>
              <w:keepNext w:val="0"/>
              <w:keepLines w:val="0"/>
              <w:pageBreakBefore w:val="0"/>
              <w:kinsoku/>
              <w:overflowPunct/>
              <w:bidi w:val="0"/>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4950" w:type="dxa"/>
            <w:noWrap w:val="0"/>
            <w:vAlign w:val="center"/>
          </w:tcPr>
          <w:p w14:paraId="467E4DE3">
            <w:pPr>
              <w:keepNext w:val="0"/>
              <w:keepLines w:val="0"/>
              <w:pageBreakBefore w:val="0"/>
              <w:tabs>
                <w:tab w:val="left" w:pos="616"/>
              </w:tabs>
              <w:kinsoku/>
              <w:overflowPunct/>
              <w:bidi w:val="0"/>
              <w:spacing w:line="400" w:lineRule="exact"/>
              <w:jc w:val="center"/>
              <w:rPr>
                <w:rFonts w:hint="eastAsia" w:ascii="宋体" w:hAnsi="宋体" w:cs="宋体"/>
                <w:b/>
                <w:bCs/>
                <w:color w:val="auto"/>
                <w:szCs w:val="21"/>
                <w:highlight w:val="none"/>
              </w:rPr>
            </w:pPr>
            <w:r>
              <w:rPr>
                <w:rFonts w:hint="eastAsia" w:ascii="宋体" w:hAnsi="Times New Roman" w:eastAsia="宋体" w:cs="Times New Roman"/>
                <w:color w:val="auto"/>
                <w:szCs w:val="21"/>
                <w:highlight w:val="none"/>
              </w:rPr>
              <w:t>须具备注册电气工程师</w:t>
            </w:r>
            <w:r>
              <w:rPr>
                <w:rFonts w:hint="eastAsia" w:ascii="宋体" w:hAnsi="宋体" w:eastAsia="宋体" w:cs="宋体"/>
                <w:color w:val="auto"/>
                <w:szCs w:val="21"/>
              </w:rPr>
              <w:t>或电气类工程师及以上职称</w:t>
            </w:r>
          </w:p>
        </w:tc>
        <w:tc>
          <w:tcPr>
            <w:tcW w:w="1301" w:type="dxa"/>
            <w:noWrap w:val="0"/>
            <w:vAlign w:val="center"/>
          </w:tcPr>
          <w:p w14:paraId="6EB21399">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全过程</w:t>
            </w:r>
          </w:p>
        </w:tc>
      </w:tr>
      <w:tr w14:paraId="0861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427" w:type="dxa"/>
            <w:noWrap w:val="0"/>
            <w:vAlign w:val="center"/>
          </w:tcPr>
          <w:p w14:paraId="20B1F6CB">
            <w:pPr>
              <w:keepNext w:val="0"/>
              <w:keepLines w:val="0"/>
              <w:pageBreakBefore w:val="0"/>
              <w:kinsoku/>
              <w:overflowPunct/>
              <w:bidi w:val="0"/>
              <w:spacing w:line="400" w:lineRule="exact"/>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3</w:t>
            </w:r>
          </w:p>
        </w:tc>
        <w:tc>
          <w:tcPr>
            <w:tcW w:w="2015" w:type="dxa"/>
            <w:noWrap w:val="0"/>
            <w:vAlign w:val="center"/>
          </w:tcPr>
          <w:p w14:paraId="5EF4C54B">
            <w:pPr>
              <w:keepNext w:val="0"/>
              <w:keepLines w:val="0"/>
              <w:pageBreakBefore w:val="0"/>
              <w:kinsoku/>
              <w:overflowPunct/>
              <w:bidi w:val="0"/>
              <w:spacing w:line="400" w:lineRule="exact"/>
              <w:jc w:val="center"/>
              <w:rPr>
                <w:rFonts w:hint="eastAsia" w:ascii="宋体" w:hAnsi="宋体" w:cs="宋体"/>
                <w:color w:val="auto"/>
                <w:szCs w:val="21"/>
              </w:rPr>
            </w:pPr>
            <w:r>
              <w:rPr>
                <w:rFonts w:hint="eastAsia" w:ascii="宋体" w:hAnsi="宋体" w:cs="宋体"/>
                <w:color w:val="auto"/>
                <w:szCs w:val="21"/>
              </w:rPr>
              <w:t>电气专业设计人员</w:t>
            </w:r>
          </w:p>
        </w:tc>
        <w:tc>
          <w:tcPr>
            <w:tcW w:w="690" w:type="dxa"/>
            <w:noWrap w:val="0"/>
            <w:vAlign w:val="center"/>
          </w:tcPr>
          <w:p w14:paraId="63A27C41">
            <w:pPr>
              <w:keepNext w:val="0"/>
              <w:keepLines w:val="0"/>
              <w:pageBreakBefore w:val="0"/>
              <w:kinsoku/>
              <w:overflowPunct/>
              <w:bidi w:val="0"/>
              <w:spacing w:line="400" w:lineRule="exact"/>
              <w:jc w:val="center"/>
              <w:rPr>
                <w:rFonts w:hint="eastAsia" w:ascii="宋体" w:hAnsi="宋体" w:cs="宋体"/>
                <w:color w:val="auto"/>
                <w:szCs w:val="21"/>
              </w:rPr>
            </w:pPr>
            <w:r>
              <w:rPr>
                <w:rFonts w:hint="eastAsia" w:ascii="宋体" w:hAnsi="宋体" w:cs="宋体"/>
                <w:color w:val="auto"/>
                <w:szCs w:val="21"/>
                <w:lang w:val="en-US" w:eastAsia="zh-CN"/>
              </w:rPr>
              <w:t>1</w:t>
            </w:r>
          </w:p>
        </w:tc>
        <w:tc>
          <w:tcPr>
            <w:tcW w:w="4950" w:type="dxa"/>
            <w:noWrap w:val="0"/>
            <w:vAlign w:val="center"/>
          </w:tcPr>
          <w:p w14:paraId="6E4CD234">
            <w:pPr>
              <w:keepNext w:val="0"/>
              <w:keepLines w:val="0"/>
              <w:pageBreakBefore w:val="0"/>
              <w:tabs>
                <w:tab w:val="left" w:pos="616"/>
              </w:tabs>
              <w:kinsoku/>
              <w:overflowPunct/>
              <w:bidi w:val="0"/>
              <w:spacing w:line="400" w:lineRule="exact"/>
              <w:jc w:val="center"/>
              <w:rPr>
                <w:rFonts w:hint="eastAsia" w:ascii="宋体" w:hAnsi="宋体" w:cs="宋体"/>
                <w:color w:val="auto"/>
                <w:szCs w:val="21"/>
              </w:rPr>
            </w:pPr>
            <w:r>
              <w:rPr>
                <w:rFonts w:hint="eastAsia" w:ascii="宋体" w:hAnsi="宋体" w:eastAsia="宋体" w:cs="宋体"/>
                <w:szCs w:val="21"/>
              </w:rPr>
              <w:t>注册电气工程师或相应专业工程师及以上职称</w:t>
            </w:r>
          </w:p>
        </w:tc>
        <w:tc>
          <w:tcPr>
            <w:tcW w:w="1301" w:type="dxa"/>
            <w:noWrap w:val="0"/>
            <w:vAlign w:val="center"/>
          </w:tcPr>
          <w:p w14:paraId="37634B7D">
            <w:pPr>
              <w:keepNext w:val="0"/>
              <w:keepLines w:val="0"/>
              <w:pageBreakBefore w:val="0"/>
              <w:kinsoku/>
              <w:overflowPunct/>
              <w:bidi w:val="0"/>
              <w:spacing w:line="400" w:lineRule="exact"/>
              <w:jc w:val="center"/>
              <w:rPr>
                <w:rFonts w:hint="eastAsia" w:ascii="宋体" w:hAnsi="宋体" w:cs="宋体"/>
                <w:color w:val="auto"/>
                <w:szCs w:val="21"/>
              </w:rPr>
            </w:pPr>
            <w:r>
              <w:rPr>
                <w:rFonts w:hint="eastAsia" w:ascii="宋体" w:hAnsi="宋体" w:cs="宋体"/>
                <w:color w:val="auto"/>
                <w:szCs w:val="21"/>
              </w:rPr>
              <w:t>全过程</w:t>
            </w:r>
          </w:p>
        </w:tc>
      </w:tr>
      <w:tr w14:paraId="28EEA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427" w:type="dxa"/>
            <w:noWrap w:val="0"/>
            <w:vAlign w:val="center"/>
          </w:tcPr>
          <w:p w14:paraId="20390719">
            <w:pPr>
              <w:keepNext w:val="0"/>
              <w:keepLines w:val="0"/>
              <w:pageBreakBefore w:val="0"/>
              <w:kinsoku/>
              <w:overflowPunct/>
              <w:bidi w:val="0"/>
              <w:spacing w:line="4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4</w:t>
            </w:r>
          </w:p>
        </w:tc>
        <w:tc>
          <w:tcPr>
            <w:tcW w:w="2015" w:type="dxa"/>
            <w:noWrap w:val="0"/>
            <w:vAlign w:val="center"/>
          </w:tcPr>
          <w:p w14:paraId="14E525FE">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施工负责人</w:t>
            </w:r>
          </w:p>
        </w:tc>
        <w:tc>
          <w:tcPr>
            <w:tcW w:w="690" w:type="dxa"/>
            <w:noWrap w:val="0"/>
            <w:vAlign w:val="center"/>
          </w:tcPr>
          <w:p w14:paraId="4AFD2965">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1</w:t>
            </w:r>
          </w:p>
        </w:tc>
        <w:tc>
          <w:tcPr>
            <w:tcW w:w="4950" w:type="dxa"/>
            <w:noWrap w:val="0"/>
            <w:vAlign w:val="center"/>
          </w:tcPr>
          <w:p w14:paraId="7169D428">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具有机电工程专业</w:t>
            </w:r>
            <w:r>
              <w:rPr>
                <w:rFonts w:hint="eastAsia" w:ascii="宋体" w:hAnsi="宋体" w:cs="宋体"/>
                <w:b/>
                <w:bCs/>
                <w:color w:val="auto"/>
                <w:szCs w:val="21"/>
                <w:lang w:eastAsia="zh-CN"/>
              </w:rPr>
              <w:t>一级</w:t>
            </w:r>
            <w:r>
              <w:rPr>
                <w:rFonts w:hint="eastAsia" w:ascii="宋体" w:hAnsi="宋体" w:cs="宋体"/>
                <w:b/>
                <w:bCs/>
                <w:color w:val="auto"/>
                <w:szCs w:val="21"/>
              </w:rPr>
              <w:t>注册建造师资格和安全生产考核合格证（B证）</w:t>
            </w:r>
          </w:p>
        </w:tc>
        <w:tc>
          <w:tcPr>
            <w:tcW w:w="1301" w:type="dxa"/>
            <w:noWrap w:val="0"/>
            <w:vAlign w:val="center"/>
          </w:tcPr>
          <w:p w14:paraId="3127A982">
            <w:pPr>
              <w:keepNext w:val="0"/>
              <w:keepLines w:val="0"/>
              <w:pageBreakBefore w:val="0"/>
              <w:kinsoku/>
              <w:overflowPunct/>
              <w:bidi w:val="0"/>
              <w:spacing w:line="400" w:lineRule="exact"/>
              <w:jc w:val="center"/>
              <w:rPr>
                <w:rFonts w:hint="eastAsia" w:ascii="宋体" w:hAnsi="宋体" w:cs="宋体"/>
                <w:b/>
                <w:bCs/>
                <w:color w:val="auto"/>
                <w:szCs w:val="21"/>
              </w:rPr>
            </w:pPr>
            <w:r>
              <w:rPr>
                <w:rFonts w:hint="eastAsia" w:ascii="宋体" w:hAnsi="宋体" w:cs="宋体"/>
                <w:b/>
                <w:bCs/>
                <w:color w:val="auto"/>
                <w:szCs w:val="21"/>
              </w:rPr>
              <w:t>开工至竣工</w:t>
            </w:r>
          </w:p>
        </w:tc>
      </w:tr>
      <w:tr w14:paraId="7070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27" w:type="dxa"/>
            <w:noWrap w:val="0"/>
            <w:vAlign w:val="center"/>
          </w:tcPr>
          <w:p w14:paraId="57CA2E5F">
            <w:pPr>
              <w:keepNext w:val="0"/>
              <w:keepLines w:val="0"/>
              <w:pageBreakBefore w:val="0"/>
              <w:kinsoku/>
              <w:overflowPunct/>
              <w:bidi w:val="0"/>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5</w:t>
            </w:r>
          </w:p>
        </w:tc>
        <w:tc>
          <w:tcPr>
            <w:tcW w:w="2015" w:type="dxa"/>
            <w:noWrap w:val="0"/>
            <w:vAlign w:val="center"/>
          </w:tcPr>
          <w:p w14:paraId="15F5650E">
            <w:pPr>
              <w:keepNext w:val="0"/>
              <w:keepLines w:val="0"/>
              <w:pageBreakBefore w:val="0"/>
              <w:tabs>
                <w:tab w:val="left" w:pos="616"/>
              </w:tabs>
              <w:kinsoku/>
              <w:overflowPunct/>
              <w:bidi w:val="0"/>
              <w:spacing w:line="400" w:lineRule="exact"/>
              <w:jc w:val="center"/>
              <w:rPr>
                <w:rFonts w:hint="default" w:ascii="宋体" w:hAnsi="宋体" w:eastAsia="宋体" w:cs="宋体"/>
                <w:color w:val="auto"/>
                <w:szCs w:val="21"/>
                <w:lang w:val="en-US" w:eastAsia="zh-CN"/>
              </w:rPr>
            </w:pPr>
            <w:r>
              <w:rPr>
                <w:rFonts w:hint="eastAsia" w:ascii="宋体" w:hAnsi="宋体" w:eastAsia="宋体" w:cs="宋体"/>
                <w:szCs w:val="21"/>
              </w:rPr>
              <w:t>施工技术负责人</w:t>
            </w:r>
          </w:p>
        </w:tc>
        <w:tc>
          <w:tcPr>
            <w:tcW w:w="690" w:type="dxa"/>
            <w:noWrap w:val="0"/>
            <w:vAlign w:val="center"/>
          </w:tcPr>
          <w:p w14:paraId="362C0752">
            <w:pPr>
              <w:keepNext w:val="0"/>
              <w:keepLines w:val="0"/>
              <w:pageBreakBefore w:val="0"/>
              <w:kinsoku/>
              <w:overflowPunct/>
              <w:bidi w:val="0"/>
              <w:spacing w:line="400" w:lineRule="exact"/>
              <w:jc w:val="center"/>
              <w:rPr>
                <w:rFonts w:hint="eastAsia" w:ascii="宋体" w:hAnsi="宋体" w:cs="宋体"/>
                <w:color w:val="auto"/>
                <w:szCs w:val="21"/>
              </w:rPr>
            </w:pPr>
            <w:r>
              <w:rPr>
                <w:rFonts w:hint="eastAsia" w:ascii="宋体" w:hAnsi="宋体" w:cs="宋体"/>
                <w:color w:val="auto"/>
                <w:szCs w:val="21"/>
              </w:rPr>
              <w:t>1</w:t>
            </w:r>
          </w:p>
        </w:tc>
        <w:tc>
          <w:tcPr>
            <w:tcW w:w="4950" w:type="dxa"/>
            <w:noWrap w:val="0"/>
            <w:vAlign w:val="center"/>
          </w:tcPr>
          <w:p w14:paraId="59ED02FC">
            <w:pPr>
              <w:keepNext w:val="0"/>
              <w:keepLines w:val="0"/>
              <w:pageBreakBefore w:val="0"/>
              <w:tabs>
                <w:tab w:val="left" w:pos="616"/>
              </w:tabs>
              <w:kinsoku/>
              <w:overflowPunct/>
              <w:bidi w:val="0"/>
              <w:spacing w:line="400" w:lineRule="exact"/>
              <w:ind w:left="8" w:leftChars="-11" w:hanging="31" w:hangingChars="15"/>
              <w:jc w:val="center"/>
              <w:rPr>
                <w:rFonts w:hint="eastAsia" w:ascii="宋体" w:hAnsi="宋体" w:cs="宋体"/>
                <w:color w:val="auto"/>
                <w:szCs w:val="21"/>
              </w:rPr>
            </w:pPr>
            <w:r>
              <w:rPr>
                <w:rFonts w:hint="eastAsia" w:ascii="宋体" w:hAnsi="宋体" w:eastAsia="宋体" w:cs="宋体"/>
                <w:szCs w:val="21"/>
              </w:rPr>
              <w:t>工程师及以上职称</w:t>
            </w:r>
          </w:p>
        </w:tc>
        <w:tc>
          <w:tcPr>
            <w:tcW w:w="1301" w:type="dxa"/>
            <w:noWrap w:val="0"/>
            <w:vAlign w:val="center"/>
          </w:tcPr>
          <w:p w14:paraId="2BDAF046">
            <w:pPr>
              <w:keepNext w:val="0"/>
              <w:keepLines w:val="0"/>
              <w:pageBreakBefore w:val="0"/>
              <w:kinsoku/>
              <w:overflowPunct/>
              <w:bidi w:val="0"/>
              <w:spacing w:line="400" w:lineRule="exact"/>
              <w:jc w:val="center"/>
              <w:rPr>
                <w:rFonts w:hint="eastAsia" w:ascii="宋体" w:hAnsi="宋体" w:cs="宋体"/>
                <w:color w:val="auto"/>
                <w:szCs w:val="21"/>
              </w:rPr>
            </w:pPr>
            <w:r>
              <w:rPr>
                <w:rFonts w:hint="eastAsia" w:ascii="宋体" w:hAnsi="宋体" w:cs="宋体"/>
                <w:color w:val="auto"/>
                <w:szCs w:val="21"/>
              </w:rPr>
              <w:t>开工至竣工</w:t>
            </w:r>
          </w:p>
        </w:tc>
      </w:tr>
      <w:tr w14:paraId="39DA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27" w:type="dxa"/>
            <w:noWrap w:val="0"/>
            <w:vAlign w:val="center"/>
          </w:tcPr>
          <w:p w14:paraId="50862171">
            <w:pPr>
              <w:keepNext w:val="0"/>
              <w:keepLines w:val="0"/>
              <w:pageBreakBefore w:val="0"/>
              <w:kinsoku/>
              <w:overflowPunct/>
              <w:bidi w:val="0"/>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2015" w:type="dxa"/>
            <w:noWrap w:val="0"/>
            <w:vAlign w:val="center"/>
          </w:tcPr>
          <w:p w14:paraId="11F030EC">
            <w:pPr>
              <w:keepNext w:val="0"/>
              <w:keepLines w:val="0"/>
              <w:pageBreakBefore w:val="0"/>
              <w:tabs>
                <w:tab w:val="left" w:pos="616"/>
              </w:tabs>
              <w:kinsoku/>
              <w:overflowPunct/>
              <w:bidi w:val="0"/>
              <w:spacing w:line="400" w:lineRule="exact"/>
              <w:jc w:val="center"/>
              <w:rPr>
                <w:rFonts w:hint="eastAsia" w:ascii="宋体" w:hAnsi="宋体" w:cs="宋体"/>
                <w:szCs w:val="21"/>
              </w:rPr>
            </w:pPr>
            <w:r>
              <w:rPr>
                <w:rFonts w:hint="eastAsia" w:ascii="宋体" w:hAnsi="宋体" w:eastAsia="宋体" w:cs="宋体"/>
                <w:szCs w:val="21"/>
              </w:rPr>
              <w:t>采购负责人</w:t>
            </w:r>
          </w:p>
        </w:tc>
        <w:tc>
          <w:tcPr>
            <w:tcW w:w="690" w:type="dxa"/>
            <w:noWrap w:val="0"/>
            <w:vAlign w:val="center"/>
          </w:tcPr>
          <w:p w14:paraId="42C9A9D0">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szCs w:val="21"/>
              </w:rPr>
              <w:t>1</w:t>
            </w:r>
          </w:p>
        </w:tc>
        <w:tc>
          <w:tcPr>
            <w:tcW w:w="4950" w:type="dxa"/>
            <w:noWrap w:val="0"/>
            <w:vAlign w:val="center"/>
          </w:tcPr>
          <w:p w14:paraId="2D75910F">
            <w:pPr>
              <w:keepNext w:val="0"/>
              <w:keepLines w:val="0"/>
              <w:pageBreakBefore w:val="0"/>
              <w:tabs>
                <w:tab w:val="left" w:pos="616"/>
              </w:tabs>
              <w:kinsoku/>
              <w:overflowPunct/>
              <w:bidi w:val="0"/>
              <w:spacing w:line="400" w:lineRule="exact"/>
              <w:ind w:left="8" w:leftChars="-11" w:hanging="31" w:hangingChars="15"/>
              <w:jc w:val="center"/>
              <w:rPr>
                <w:rFonts w:hint="eastAsia" w:ascii="宋体" w:hAnsi="宋体" w:cs="宋体"/>
                <w:szCs w:val="21"/>
              </w:rPr>
            </w:pPr>
            <w:r>
              <w:rPr>
                <w:rFonts w:hint="eastAsia" w:ascii="宋体" w:hAnsi="宋体" w:eastAsia="宋体" w:cs="宋体"/>
                <w:szCs w:val="21"/>
              </w:rPr>
              <w:t>工程师及以上职称</w:t>
            </w:r>
          </w:p>
        </w:tc>
        <w:tc>
          <w:tcPr>
            <w:tcW w:w="1301" w:type="dxa"/>
            <w:noWrap w:val="0"/>
            <w:vAlign w:val="center"/>
          </w:tcPr>
          <w:p w14:paraId="49CC2231">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szCs w:val="21"/>
              </w:rPr>
              <w:t>开工至竣工</w:t>
            </w:r>
          </w:p>
        </w:tc>
      </w:tr>
      <w:tr w14:paraId="7816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27" w:type="dxa"/>
            <w:noWrap w:val="0"/>
            <w:vAlign w:val="center"/>
          </w:tcPr>
          <w:p w14:paraId="78A610B3">
            <w:pPr>
              <w:keepNext w:val="0"/>
              <w:keepLines w:val="0"/>
              <w:pageBreakBefore w:val="0"/>
              <w:kinsoku/>
              <w:overflowPunct/>
              <w:bidi w:val="0"/>
              <w:spacing w:line="400" w:lineRule="exact"/>
              <w:jc w:val="center"/>
              <w:rPr>
                <w:rFonts w:hint="eastAsia" w:ascii="宋体" w:hAnsi="宋体" w:eastAsia="宋体" w:cs="宋体"/>
                <w:szCs w:val="21"/>
                <w:lang w:eastAsia="zh-CN"/>
              </w:rPr>
            </w:pPr>
            <w:r>
              <w:rPr>
                <w:rFonts w:hint="eastAsia" w:ascii="宋体" w:hAnsi="宋体" w:cs="宋体"/>
                <w:szCs w:val="21"/>
                <w:lang w:val="en-US" w:eastAsia="zh-CN"/>
              </w:rPr>
              <w:t>7</w:t>
            </w:r>
          </w:p>
        </w:tc>
        <w:tc>
          <w:tcPr>
            <w:tcW w:w="2015" w:type="dxa"/>
            <w:noWrap w:val="0"/>
            <w:vAlign w:val="center"/>
          </w:tcPr>
          <w:p w14:paraId="7340FEDC">
            <w:pPr>
              <w:keepNext w:val="0"/>
              <w:keepLines w:val="0"/>
              <w:pageBreakBefore w:val="0"/>
              <w:tabs>
                <w:tab w:val="left" w:pos="616"/>
              </w:tabs>
              <w:kinsoku/>
              <w:overflowPunct/>
              <w:bidi w:val="0"/>
              <w:spacing w:line="400" w:lineRule="exact"/>
              <w:jc w:val="center"/>
              <w:rPr>
                <w:rFonts w:hint="eastAsia" w:ascii="宋体" w:hAnsi="宋体" w:cs="宋体"/>
                <w:szCs w:val="21"/>
              </w:rPr>
            </w:pPr>
            <w:r>
              <w:rPr>
                <w:rFonts w:hint="eastAsia" w:ascii="宋体" w:hAnsi="宋体" w:eastAsia="宋体" w:cs="宋体"/>
                <w:szCs w:val="21"/>
              </w:rPr>
              <w:t>施工员</w:t>
            </w:r>
          </w:p>
        </w:tc>
        <w:tc>
          <w:tcPr>
            <w:tcW w:w="690" w:type="dxa"/>
            <w:noWrap w:val="0"/>
            <w:vAlign w:val="center"/>
          </w:tcPr>
          <w:p w14:paraId="07172E4F">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szCs w:val="21"/>
              </w:rPr>
              <w:t>1</w:t>
            </w:r>
          </w:p>
        </w:tc>
        <w:tc>
          <w:tcPr>
            <w:tcW w:w="4950" w:type="dxa"/>
            <w:noWrap w:val="0"/>
            <w:vAlign w:val="center"/>
          </w:tcPr>
          <w:p w14:paraId="3AED18E5">
            <w:pPr>
              <w:keepNext w:val="0"/>
              <w:keepLines w:val="0"/>
              <w:pageBreakBefore w:val="0"/>
              <w:tabs>
                <w:tab w:val="left" w:pos="616"/>
              </w:tabs>
              <w:kinsoku/>
              <w:overflowPunct/>
              <w:bidi w:val="0"/>
              <w:spacing w:line="400" w:lineRule="exact"/>
              <w:ind w:left="8" w:leftChars="-11" w:hanging="31" w:hangingChars="15"/>
              <w:jc w:val="center"/>
              <w:rPr>
                <w:rFonts w:hint="eastAsia" w:ascii="宋体" w:hAnsi="宋体" w:cs="宋体"/>
                <w:szCs w:val="21"/>
              </w:rPr>
            </w:pPr>
            <w:r>
              <w:rPr>
                <w:rFonts w:hint="eastAsia" w:ascii="宋体" w:hAnsi="宋体" w:eastAsia="宋体" w:cs="宋体"/>
                <w:szCs w:val="21"/>
              </w:rPr>
              <w:t>相关职业资格证书</w:t>
            </w:r>
          </w:p>
        </w:tc>
        <w:tc>
          <w:tcPr>
            <w:tcW w:w="1301" w:type="dxa"/>
            <w:noWrap w:val="0"/>
            <w:vAlign w:val="center"/>
          </w:tcPr>
          <w:p w14:paraId="6097C845">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szCs w:val="21"/>
              </w:rPr>
              <w:t>开工至竣工</w:t>
            </w:r>
          </w:p>
        </w:tc>
      </w:tr>
      <w:tr w14:paraId="2537A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27" w:type="dxa"/>
            <w:noWrap w:val="0"/>
            <w:vAlign w:val="center"/>
          </w:tcPr>
          <w:p w14:paraId="592E7C40">
            <w:pPr>
              <w:keepNext w:val="0"/>
              <w:keepLines w:val="0"/>
              <w:pageBreakBefore w:val="0"/>
              <w:kinsoku/>
              <w:overflowPunct/>
              <w:bidi w:val="0"/>
              <w:spacing w:line="400" w:lineRule="exact"/>
              <w:jc w:val="center"/>
              <w:rPr>
                <w:rFonts w:hint="default" w:ascii="宋体" w:hAnsi="宋体" w:cs="宋体"/>
                <w:szCs w:val="21"/>
                <w:lang w:val="en-US" w:eastAsia="zh-CN"/>
              </w:rPr>
            </w:pPr>
            <w:r>
              <w:rPr>
                <w:rFonts w:hint="eastAsia" w:ascii="宋体" w:hAnsi="宋体" w:cs="宋体"/>
                <w:szCs w:val="21"/>
                <w:lang w:val="en-US" w:eastAsia="zh-CN"/>
              </w:rPr>
              <w:t>8</w:t>
            </w:r>
          </w:p>
        </w:tc>
        <w:tc>
          <w:tcPr>
            <w:tcW w:w="2015" w:type="dxa"/>
            <w:noWrap w:val="0"/>
            <w:vAlign w:val="center"/>
          </w:tcPr>
          <w:p w14:paraId="7AC0E1CA">
            <w:pPr>
              <w:keepNext w:val="0"/>
              <w:keepLines w:val="0"/>
              <w:pageBreakBefore w:val="0"/>
              <w:tabs>
                <w:tab w:val="left" w:pos="616"/>
              </w:tabs>
              <w:kinsoku/>
              <w:overflowPunct/>
              <w:bidi w:val="0"/>
              <w:spacing w:line="400" w:lineRule="exact"/>
              <w:jc w:val="center"/>
              <w:rPr>
                <w:rFonts w:hint="eastAsia" w:ascii="宋体" w:hAnsi="宋体" w:cs="宋体"/>
                <w:szCs w:val="21"/>
                <w:highlight w:val="none"/>
              </w:rPr>
            </w:pPr>
            <w:r>
              <w:rPr>
                <w:rFonts w:hint="eastAsia" w:ascii="宋体" w:hAnsi="宋体" w:eastAsia="宋体" w:cs="宋体"/>
                <w:szCs w:val="21"/>
                <w:highlight w:val="none"/>
              </w:rPr>
              <w:t>安全员</w:t>
            </w:r>
          </w:p>
        </w:tc>
        <w:tc>
          <w:tcPr>
            <w:tcW w:w="690" w:type="dxa"/>
            <w:noWrap w:val="0"/>
            <w:vAlign w:val="center"/>
          </w:tcPr>
          <w:p w14:paraId="329F51F9">
            <w:pPr>
              <w:keepNext w:val="0"/>
              <w:keepLines w:val="0"/>
              <w:pageBreakBefore w:val="0"/>
              <w:kinsoku/>
              <w:overflowPunct/>
              <w:bidi w:val="0"/>
              <w:spacing w:line="400" w:lineRule="exact"/>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4950" w:type="dxa"/>
            <w:noWrap w:val="0"/>
            <w:vAlign w:val="center"/>
          </w:tcPr>
          <w:p w14:paraId="64D9EA44">
            <w:pPr>
              <w:keepNext w:val="0"/>
              <w:keepLines w:val="0"/>
              <w:pageBreakBefore w:val="0"/>
              <w:tabs>
                <w:tab w:val="left" w:pos="616"/>
              </w:tabs>
              <w:kinsoku/>
              <w:overflowPunct/>
              <w:bidi w:val="0"/>
              <w:spacing w:line="400" w:lineRule="exact"/>
              <w:ind w:left="8" w:leftChars="-11" w:hanging="31" w:hangingChars="15"/>
              <w:jc w:val="center"/>
              <w:rPr>
                <w:rFonts w:hint="eastAsia" w:ascii="宋体" w:hAnsi="宋体" w:cs="宋体"/>
                <w:szCs w:val="21"/>
                <w:highlight w:val="none"/>
              </w:rPr>
            </w:pPr>
            <w:r>
              <w:rPr>
                <w:rFonts w:hint="eastAsia" w:ascii="宋体" w:hAnsi="宋体" w:eastAsia="宋体" w:cs="宋体"/>
                <w:szCs w:val="21"/>
                <w:highlight w:val="none"/>
              </w:rPr>
              <w:t>安全生产考核合格证（C证）</w:t>
            </w:r>
          </w:p>
        </w:tc>
        <w:tc>
          <w:tcPr>
            <w:tcW w:w="1301" w:type="dxa"/>
            <w:noWrap w:val="0"/>
            <w:vAlign w:val="center"/>
          </w:tcPr>
          <w:p w14:paraId="2EB10DB9">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color w:val="auto"/>
                <w:szCs w:val="21"/>
              </w:rPr>
              <w:t>开工至竣工</w:t>
            </w:r>
          </w:p>
        </w:tc>
      </w:tr>
      <w:tr w14:paraId="5C716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427" w:type="dxa"/>
            <w:noWrap w:val="0"/>
            <w:vAlign w:val="center"/>
          </w:tcPr>
          <w:p w14:paraId="795C0A77">
            <w:pPr>
              <w:keepNext w:val="0"/>
              <w:keepLines w:val="0"/>
              <w:pageBreakBefore w:val="0"/>
              <w:kinsoku/>
              <w:overflowPunct/>
              <w:bidi w:val="0"/>
              <w:spacing w:line="400" w:lineRule="exact"/>
              <w:jc w:val="center"/>
              <w:rPr>
                <w:rFonts w:hint="default" w:ascii="宋体" w:hAnsi="宋体" w:cs="宋体"/>
                <w:szCs w:val="21"/>
                <w:lang w:val="en-US" w:eastAsia="zh-CN"/>
              </w:rPr>
            </w:pPr>
            <w:r>
              <w:rPr>
                <w:rFonts w:hint="eastAsia" w:ascii="宋体" w:hAnsi="宋体" w:cs="宋体"/>
                <w:szCs w:val="21"/>
                <w:lang w:val="en-US" w:eastAsia="zh-CN"/>
              </w:rPr>
              <w:t>9</w:t>
            </w:r>
          </w:p>
        </w:tc>
        <w:tc>
          <w:tcPr>
            <w:tcW w:w="2015" w:type="dxa"/>
            <w:noWrap w:val="0"/>
            <w:vAlign w:val="center"/>
          </w:tcPr>
          <w:p w14:paraId="7D13CDB2">
            <w:pPr>
              <w:keepNext w:val="0"/>
              <w:keepLines w:val="0"/>
              <w:pageBreakBefore w:val="0"/>
              <w:tabs>
                <w:tab w:val="left" w:pos="616"/>
              </w:tabs>
              <w:kinsoku/>
              <w:overflowPunct/>
              <w:bidi w:val="0"/>
              <w:spacing w:line="400" w:lineRule="exact"/>
              <w:jc w:val="center"/>
              <w:rPr>
                <w:rFonts w:hint="eastAsia" w:ascii="宋体" w:hAnsi="宋体" w:cs="宋体"/>
                <w:szCs w:val="21"/>
              </w:rPr>
            </w:pPr>
            <w:r>
              <w:rPr>
                <w:rFonts w:hint="eastAsia" w:ascii="宋体" w:hAnsi="宋体" w:eastAsia="宋体" w:cs="宋体"/>
                <w:szCs w:val="21"/>
              </w:rPr>
              <w:t>质量员</w:t>
            </w:r>
          </w:p>
        </w:tc>
        <w:tc>
          <w:tcPr>
            <w:tcW w:w="690" w:type="dxa"/>
            <w:noWrap w:val="0"/>
            <w:vAlign w:val="center"/>
          </w:tcPr>
          <w:p w14:paraId="4FBC450D">
            <w:pPr>
              <w:keepNext w:val="0"/>
              <w:keepLines w:val="0"/>
              <w:pageBreakBefore w:val="0"/>
              <w:kinsoku/>
              <w:overflowPunct/>
              <w:bidi w:val="0"/>
              <w:spacing w:line="400" w:lineRule="exact"/>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4950" w:type="dxa"/>
            <w:noWrap w:val="0"/>
            <w:vAlign w:val="center"/>
          </w:tcPr>
          <w:p w14:paraId="1BA6D847">
            <w:pPr>
              <w:keepNext w:val="0"/>
              <w:keepLines w:val="0"/>
              <w:pageBreakBefore w:val="0"/>
              <w:kinsoku/>
              <w:overflowPunct/>
              <w:bidi w:val="0"/>
              <w:spacing w:line="400" w:lineRule="exact"/>
              <w:ind w:left="8" w:leftChars="-11" w:hanging="31" w:hangingChars="15"/>
              <w:jc w:val="center"/>
              <w:rPr>
                <w:rFonts w:hint="eastAsia" w:ascii="宋体" w:hAnsi="宋体" w:cs="宋体"/>
                <w:szCs w:val="21"/>
              </w:rPr>
            </w:pPr>
            <w:r>
              <w:rPr>
                <w:rFonts w:hint="eastAsia" w:ascii="宋体" w:hAnsi="宋体" w:eastAsia="宋体" w:cs="宋体"/>
                <w:szCs w:val="21"/>
              </w:rPr>
              <w:t>相关职业资格证书</w:t>
            </w:r>
          </w:p>
        </w:tc>
        <w:tc>
          <w:tcPr>
            <w:tcW w:w="1301" w:type="dxa"/>
            <w:noWrap w:val="0"/>
            <w:vAlign w:val="center"/>
          </w:tcPr>
          <w:p w14:paraId="4B9C313A">
            <w:pPr>
              <w:keepNext w:val="0"/>
              <w:keepLines w:val="0"/>
              <w:pageBreakBefore w:val="0"/>
              <w:kinsoku/>
              <w:overflowPunct/>
              <w:bidi w:val="0"/>
              <w:spacing w:line="400" w:lineRule="exact"/>
              <w:jc w:val="center"/>
              <w:rPr>
                <w:rFonts w:hint="eastAsia" w:ascii="宋体" w:hAnsi="宋体" w:cs="宋体"/>
                <w:szCs w:val="21"/>
              </w:rPr>
            </w:pPr>
            <w:r>
              <w:rPr>
                <w:rFonts w:hint="eastAsia" w:ascii="宋体" w:hAnsi="宋体" w:cs="宋体"/>
                <w:color w:val="auto"/>
                <w:szCs w:val="21"/>
              </w:rPr>
              <w:t>开工至竣工</w:t>
            </w:r>
          </w:p>
        </w:tc>
      </w:tr>
      <w:tr w14:paraId="5CC80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27" w:type="dxa"/>
            <w:vAlign w:val="center"/>
          </w:tcPr>
          <w:p w14:paraId="37AAF884">
            <w:pPr>
              <w:keepNext w:val="0"/>
              <w:keepLines w:val="0"/>
              <w:pageBreakBefore w:val="0"/>
              <w:tabs>
                <w:tab w:val="left" w:pos="616"/>
              </w:tabs>
              <w:kinsoku/>
              <w:overflowPunct/>
              <w:bidi w:val="0"/>
              <w:spacing w:line="400" w:lineRule="exact"/>
              <w:jc w:val="center"/>
              <w:rPr>
                <w:rFonts w:ascii="宋体" w:hAnsi="宋体" w:eastAsia="宋体" w:cs="宋体"/>
                <w:szCs w:val="21"/>
              </w:rPr>
            </w:pPr>
            <w:r>
              <w:rPr>
                <w:rFonts w:hint="eastAsia" w:ascii="宋体" w:hAnsi="宋体" w:eastAsia="宋体" w:cs="宋体"/>
                <w:szCs w:val="21"/>
              </w:rPr>
              <w:t>备注</w:t>
            </w:r>
          </w:p>
        </w:tc>
        <w:tc>
          <w:tcPr>
            <w:tcW w:w="8956" w:type="dxa"/>
            <w:gridSpan w:val="4"/>
            <w:vAlign w:val="center"/>
          </w:tcPr>
          <w:p w14:paraId="3E70D61E">
            <w:pPr>
              <w:keepNext w:val="0"/>
              <w:keepLines w:val="0"/>
              <w:pageBreakBefore w:val="0"/>
              <w:tabs>
                <w:tab w:val="left" w:pos="616"/>
              </w:tabs>
              <w:kinsoku/>
              <w:overflowPunct/>
              <w:autoSpaceDE w:val="0"/>
              <w:autoSpaceDN w:val="0"/>
              <w:bidi w:val="0"/>
              <w:adjustRightInd w:val="0"/>
              <w:spacing w:line="400" w:lineRule="exact"/>
              <w:ind w:firstLine="211" w:firstLineChars="100"/>
              <w:jc w:val="left"/>
              <w:rPr>
                <w:rFonts w:hint="eastAsia" w:ascii="宋体" w:hAnsi="宋体" w:eastAsia="宋体" w:cs="宋体"/>
                <w:b/>
                <w:bCs/>
                <w:szCs w:val="21"/>
              </w:rPr>
            </w:pPr>
            <w:r>
              <w:rPr>
                <w:rFonts w:hint="eastAsia" w:ascii="宋体" w:hAnsi="宋体" w:eastAsia="宋体" w:cs="宋体"/>
                <w:b/>
                <w:bCs/>
                <w:szCs w:val="21"/>
                <w:lang w:val="en-US" w:eastAsia="zh-CN"/>
              </w:rPr>
              <w:t>1、</w:t>
            </w:r>
            <w:r>
              <w:rPr>
                <w:rFonts w:hint="eastAsia" w:ascii="宋体" w:hAnsi="宋体" w:eastAsia="宋体" w:cs="宋体"/>
                <w:b/>
                <w:bCs/>
                <w:szCs w:val="21"/>
              </w:rPr>
              <w:t>如采用联合体投标的，</w:t>
            </w:r>
            <w:r>
              <w:rPr>
                <w:rFonts w:hint="eastAsia" w:ascii="宋体" w:hAnsi="宋体" w:eastAsia="宋体" w:cs="宋体"/>
                <w:b/>
                <w:bCs/>
                <w:szCs w:val="21"/>
                <w:lang w:eastAsia="zh-CN"/>
              </w:rPr>
              <w:t>上述</w:t>
            </w:r>
            <w:r>
              <w:rPr>
                <w:rFonts w:hint="eastAsia" w:ascii="宋体" w:hAnsi="宋体" w:eastAsia="宋体" w:cs="宋体"/>
                <w:b/>
                <w:bCs/>
                <w:szCs w:val="21"/>
                <w:lang w:val="en-US" w:eastAsia="zh-CN"/>
              </w:rPr>
              <w:t>人员</w:t>
            </w:r>
            <w:r>
              <w:rPr>
                <w:rFonts w:hint="eastAsia" w:ascii="宋体" w:hAnsi="宋体" w:eastAsia="宋体" w:cs="宋体"/>
                <w:b/>
                <w:bCs/>
                <w:szCs w:val="21"/>
              </w:rPr>
              <w:t>社保证明以</w:t>
            </w:r>
            <w:r>
              <w:rPr>
                <w:rFonts w:hint="eastAsia" w:ascii="宋体" w:hAnsi="宋体" w:eastAsia="宋体" w:cs="宋体"/>
                <w:b/>
                <w:bCs/>
                <w:szCs w:val="21"/>
                <w:lang w:eastAsia="zh-CN"/>
              </w:rPr>
              <w:t>联合体成员</w:t>
            </w:r>
            <w:r>
              <w:rPr>
                <w:rFonts w:hint="eastAsia" w:ascii="宋体" w:hAnsi="宋体" w:eastAsia="宋体" w:cs="宋体"/>
                <w:b/>
                <w:bCs/>
                <w:szCs w:val="21"/>
              </w:rPr>
              <w:t>所在地社保部</w:t>
            </w:r>
            <w:r>
              <w:rPr>
                <w:rFonts w:hint="eastAsia" w:ascii="宋体" w:hAnsi="宋体" w:eastAsia="宋体" w:cs="宋体"/>
                <w:b/>
                <w:bCs/>
                <w:szCs w:val="21"/>
                <w:highlight w:val="none"/>
              </w:rPr>
              <w:t>门提供的</w:t>
            </w:r>
            <w:r>
              <w:rPr>
                <w:rFonts w:hint="eastAsia" w:ascii="宋体" w:hAnsi="宋体" w:eastAsia="宋体" w:cs="宋体"/>
                <w:b/>
                <w:bCs/>
                <w:szCs w:val="21"/>
                <w:highlight w:val="none"/>
                <w:lang w:eastAsia="zh-CN"/>
              </w:rPr>
              <w:t>202</w:t>
            </w:r>
            <w:r>
              <w:rPr>
                <w:rFonts w:hint="eastAsia" w:ascii="宋体" w:hAnsi="宋体" w:eastAsia="宋体" w:cs="宋体"/>
                <w:b/>
                <w:bCs/>
                <w:szCs w:val="21"/>
                <w:highlight w:val="none"/>
                <w:lang w:val="en-US" w:eastAsia="zh-CN"/>
              </w:rPr>
              <w:t>4</w:t>
            </w:r>
            <w:r>
              <w:rPr>
                <w:rFonts w:hint="eastAsia" w:ascii="宋体" w:hAnsi="宋体" w:eastAsia="宋体" w:cs="宋体"/>
                <w:b/>
                <w:bCs/>
                <w:szCs w:val="21"/>
                <w:highlight w:val="none"/>
                <w:lang w:eastAsia="zh-CN"/>
              </w:rPr>
              <w:t>年</w:t>
            </w:r>
            <w:r>
              <w:rPr>
                <w:rFonts w:hint="eastAsia" w:ascii="宋体" w:hAnsi="宋体" w:cs="宋体"/>
                <w:b/>
                <w:bCs/>
                <w:szCs w:val="21"/>
                <w:highlight w:val="none"/>
                <w:lang w:val="en-US" w:eastAsia="zh-CN"/>
              </w:rPr>
              <w:t>9</w:t>
            </w:r>
            <w:r>
              <w:rPr>
                <w:rFonts w:hint="eastAsia" w:ascii="宋体" w:hAnsi="宋体" w:eastAsia="宋体" w:cs="宋体"/>
                <w:b/>
                <w:bCs/>
                <w:szCs w:val="21"/>
                <w:highlight w:val="none"/>
                <w:lang w:eastAsia="zh-CN"/>
              </w:rPr>
              <w:t>月</w:t>
            </w:r>
            <w:r>
              <w:rPr>
                <w:rFonts w:hint="eastAsia" w:ascii="宋体" w:hAnsi="宋体" w:eastAsia="宋体" w:cs="宋体"/>
                <w:b/>
                <w:bCs/>
                <w:szCs w:val="21"/>
              </w:rPr>
              <w:t>本单位职工基本社会保险参保证明或缴费清单为准</w:t>
            </w:r>
            <w:r>
              <w:rPr>
                <w:rFonts w:hint="eastAsia" w:ascii="宋体" w:hAnsi="宋体" w:eastAsia="宋体" w:cs="宋体"/>
                <w:b/>
                <w:bCs/>
                <w:szCs w:val="21"/>
                <w:lang w:eastAsia="zh-CN"/>
              </w:rPr>
              <w:t>，</w:t>
            </w:r>
            <w:r>
              <w:rPr>
                <w:rFonts w:hint="eastAsia" w:ascii="宋体" w:hAnsi="宋体" w:eastAsia="宋体" w:cs="宋体"/>
                <w:b/>
                <w:bCs/>
                <w:szCs w:val="21"/>
                <w:lang w:val="en-US" w:eastAsia="zh-CN"/>
              </w:rPr>
              <w:t>已退休人员须提供退休相关证明资料。</w:t>
            </w:r>
          </w:p>
          <w:p w14:paraId="48444D50">
            <w:pPr>
              <w:keepNext w:val="0"/>
              <w:keepLines w:val="0"/>
              <w:pageBreakBefore w:val="0"/>
              <w:tabs>
                <w:tab w:val="left" w:pos="616"/>
              </w:tabs>
              <w:kinsoku/>
              <w:overflowPunct/>
              <w:autoSpaceDE w:val="0"/>
              <w:autoSpaceDN w:val="0"/>
              <w:bidi w:val="0"/>
              <w:adjustRightInd w:val="0"/>
              <w:spacing w:line="400" w:lineRule="exact"/>
              <w:ind w:firstLine="211" w:firstLineChars="100"/>
              <w:jc w:val="left"/>
              <w:rPr>
                <w:rFonts w:ascii="宋体" w:hAnsi="宋体" w:eastAsia="宋体" w:cs="宋体"/>
                <w:b/>
                <w:bCs/>
                <w:color w:val="auto"/>
                <w:kern w:val="0"/>
                <w:szCs w:val="21"/>
                <w:highlight w:val="none"/>
                <w:lang w:val="zh-CN"/>
              </w:rPr>
            </w:pPr>
            <w:r>
              <w:rPr>
                <w:rFonts w:hint="eastAsia" w:ascii="宋体" w:hAnsi="宋体" w:eastAsia="宋体" w:cs="宋体"/>
                <w:b/>
                <w:bCs/>
                <w:szCs w:val="21"/>
                <w:highlight w:val="none"/>
              </w:rPr>
              <w:t>2、上述人员中除工程项目总负责人可由设计负责人兼任外，其他人员均不得互相兼任，</w:t>
            </w:r>
            <w:r>
              <w:rPr>
                <w:rFonts w:hint="eastAsia" w:ascii="宋体" w:hAnsi="宋体" w:eastAsia="宋体" w:cs="宋体"/>
                <w:b/>
                <w:bCs/>
                <w:szCs w:val="21"/>
                <w:highlight w:val="none"/>
                <w:lang w:val="zh-CN"/>
              </w:rPr>
              <w:t>所有人</w:t>
            </w:r>
            <w:r>
              <w:rPr>
                <w:rFonts w:hint="eastAsia" w:ascii="宋体" w:hAnsi="宋体" w:eastAsia="宋体" w:cs="宋体"/>
                <w:b/>
                <w:bCs/>
                <w:kern w:val="0"/>
                <w:szCs w:val="21"/>
                <w:highlight w:val="none"/>
                <w:lang w:val="zh-CN"/>
              </w:rPr>
              <w:t>员须为投标人在职职工，</w:t>
            </w:r>
            <w:r>
              <w:rPr>
                <w:rFonts w:hint="eastAsia" w:ascii="宋体" w:hAnsi="宋体" w:eastAsia="宋体" w:cs="宋体"/>
                <w:b/>
                <w:bCs/>
                <w:color w:val="auto"/>
                <w:kern w:val="0"/>
                <w:szCs w:val="21"/>
                <w:highlight w:val="none"/>
                <w:lang w:val="zh-CN"/>
              </w:rPr>
              <w:t>退休返聘人员须有返聘劳务合同。</w:t>
            </w:r>
          </w:p>
          <w:p w14:paraId="20E23ECA">
            <w:pPr>
              <w:keepNext w:val="0"/>
              <w:keepLines w:val="0"/>
              <w:pageBreakBefore w:val="0"/>
              <w:kinsoku/>
              <w:overflowPunct/>
              <w:autoSpaceDE w:val="0"/>
              <w:autoSpaceDN w:val="0"/>
              <w:bidi w:val="0"/>
              <w:adjustRightInd w:val="0"/>
              <w:spacing w:line="400" w:lineRule="exact"/>
              <w:ind w:firstLine="211" w:firstLineChars="100"/>
              <w:rPr>
                <w:rFonts w:ascii="宋体" w:hAnsi="宋体" w:eastAsia="宋体" w:cs="宋体"/>
                <w:b/>
                <w:bCs/>
                <w:kern w:val="0"/>
                <w:szCs w:val="21"/>
              </w:rPr>
            </w:pP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lang w:val="zh-CN"/>
              </w:rPr>
              <w:t>、职称证明材料：提供下列①或②或③即可：①纸质职称证书；②职称评定文件（同时提供获得职称文件网络查询网址）；③电子职称证书（包含网络查询二维码）。职称证书发证部门一般应为人力资源和社会保障部门，非人力资源和社会保障部门颁发的，必须提供人力资源和社会保障部门出具的授权职称评定证明原件扫描件。未提供完整或不符合要求的不予认可。</w:t>
            </w:r>
          </w:p>
        </w:tc>
      </w:tr>
    </w:tbl>
    <w:p w14:paraId="3D46AC1E">
      <w:pPr>
        <w:keepNext w:val="0"/>
        <w:keepLines w:val="0"/>
        <w:pageBreakBefore w:val="0"/>
        <w:kinsoku/>
        <w:wordWrap/>
        <w:overflowPunct/>
        <w:topLinePunct w:val="0"/>
        <w:bidi w:val="0"/>
        <w:adjustRightInd/>
        <w:snapToGrid/>
        <w:spacing w:line="400" w:lineRule="exact"/>
        <w:jc w:val="both"/>
        <w:rPr>
          <w:rFonts w:hint="eastAsia" w:ascii="宋体" w:hAnsi="宋体" w:eastAsia="宋体" w:cs="宋体"/>
          <w:b/>
          <w:color w:val="auto"/>
          <w:sz w:val="21"/>
          <w:szCs w:val="21"/>
          <w:highlight w:val="none"/>
        </w:rPr>
      </w:pPr>
      <w:bookmarkStart w:id="0" w:name="_Toc22828055"/>
      <w:bookmarkStart w:id="1" w:name="_Toc45697224"/>
      <w:bookmarkStart w:id="2" w:name="_Toc26002054"/>
      <w:bookmarkStart w:id="3" w:name="_Toc12635"/>
      <w:bookmarkStart w:id="4" w:name="_Toc24050273"/>
      <w:bookmarkStart w:id="5" w:name="_Toc26002001"/>
      <w:bookmarkStart w:id="6" w:name="_Toc22827972"/>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招标文件的获取</w:t>
      </w:r>
      <w:bookmarkEnd w:id="0"/>
      <w:bookmarkEnd w:id="1"/>
      <w:bookmarkEnd w:id="2"/>
      <w:bookmarkEnd w:id="3"/>
      <w:bookmarkEnd w:id="4"/>
      <w:bookmarkEnd w:id="5"/>
      <w:bookmarkEnd w:id="6"/>
    </w:p>
    <w:p w14:paraId="0B79C8F8">
      <w:pPr>
        <w:keepNext w:val="0"/>
        <w:keepLines w:val="0"/>
        <w:pageBreakBefore w:val="0"/>
        <w:kinsoku/>
        <w:wordWrap/>
        <w:overflowPunct/>
        <w:topLinePunct w:val="0"/>
        <w:bidi w:val="0"/>
        <w:adjustRightInd/>
        <w:snapToGrid/>
        <w:spacing w:line="400" w:lineRule="exact"/>
        <w:ind w:firstLine="420" w:firstLine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.1本项目招标文件（含图纸）和补充（答疑、澄清）、修改文件以网上下载方式发放。</w:t>
      </w:r>
    </w:p>
    <w:p w14:paraId="2095BFCA">
      <w:pPr>
        <w:keepNext w:val="0"/>
        <w:keepLines w:val="0"/>
        <w:pageBreakBefore w:val="0"/>
        <w:kinsoku/>
        <w:wordWrap/>
        <w:overflowPunct/>
        <w:topLinePunct w:val="0"/>
        <w:bidi w:val="0"/>
        <w:adjustRightInd/>
        <w:snapToGrid/>
        <w:spacing w:line="400" w:lineRule="exact"/>
        <w:ind w:firstLine="420" w:firstLine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.2招标文件下载网址：</w:t>
      </w:r>
      <w:bookmarkStart w:id="7" w:name="_Hlk24015357"/>
      <w:r>
        <w:rPr>
          <w:rFonts w:hint="eastAsia" w:ascii="宋体" w:hAnsi="宋体" w:eastAsia="宋体" w:cs="宋体"/>
          <w:color w:val="auto"/>
          <w:sz w:val="21"/>
          <w:szCs w:val="21"/>
          <w:highlight w:val="none"/>
        </w:rPr>
        <w:t>潜在投标人登录</w:t>
      </w:r>
      <w:r>
        <w:rPr>
          <w:rFonts w:hint="eastAsia" w:ascii="宋体" w:hAnsi="宋体" w:eastAsia="宋体" w:cs="宋体"/>
          <w:i w:val="0"/>
          <w:caps w:val="0"/>
          <w:color w:val="auto"/>
          <w:spacing w:val="0"/>
          <w:kern w:val="0"/>
          <w:sz w:val="21"/>
          <w:szCs w:val="21"/>
          <w:highlight w:val="none"/>
          <w:shd w:val="clear" w:color="auto" w:fill="auto"/>
          <w:lang w:val="en-US" w:eastAsia="zh-CN" w:bidi="ar"/>
        </w:rPr>
        <w:t>衢州市市县一体公共资源交易平台（</w:t>
      </w:r>
      <w:r>
        <w:rPr>
          <w:rFonts w:hint="eastAsia" w:ascii="宋体" w:hAnsi="宋体" w:eastAsia="宋体" w:cs="宋体"/>
          <w:i w:val="0"/>
          <w:caps w:val="0"/>
          <w:color w:val="auto"/>
          <w:spacing w:val="0"/>
          <w:sz w:val="21"/>
          <w:szCs w:val="21"/>
          <w:highlight w:val="none"/>
          <w:u w:val="none"/>
          <w:shd w:val="clear" w:color="auto" w:fill="auto"/>
        </w:rPr>
        <w:t>http</w:t>
      </w:r>
      <w:r>
        <w:rPr>
          <w:rFonts w:hint="eastAsia" w:ascii="宋体" w:hAnsi="宋体" w:eastAsia="宋体" w:cs="宋体"/>
          <w:i w:val="0"/>
          <w:caps w:val="0"/>
          <w:color w:val="auto"/>
          <w:spacing w:val="0"/>
          <w:sz w:val="21"/>
          <w:szCs w:val="21"/>
          <w:highlight w:val="none"/>
          <w:u w:val="none"/>
          <w:shd w:val="clear" w:color="auto" w:fill="auto"/>
          <w:lang w:val="en-US" w:eastAsia="zh-CN"/>
        </w:rPr>
        <w:t>s</w:t>
      </w:r>
      <w:r>
        <w:rPr>
          <w:rFonts w:hint="eastAsia" w:ascii="宋体" w:hAnsi="宋体" w:eastAsia="宋体" w:cs="宋体"/>
          <w:i w:val="0"/>
          <w:caps w:val="0"/>
          <w:color w:val="auto"/>
          <w:spacing w:val="0"/>
          <w:sz w:val="21"/>
          <w:szCs w:val="21"/>
          <w:highlight w:val="none"/>
          <w:u w:val="none"/>
          <w:shd w:val="clear" w:color="auto" w:fill="auto"/>
        </w:rPr>
        <w:t>://ggzy.qz.gov.cn</w:t>
      </w:r>
      <w:r>
        <w:rPr>
          <w:rFonts w:hint="eastAsia" w:ascii="宋体" w:hAnsi="宋体" w:eastAsia="宋体" w:cs="宋体"/>
          <w:i w:val="0"/>
          <w:caps w:val="0"/>
          <w:color w:val="auto"/>
          <w:spacing w:val="0"/>
          <w:kern w:val="0"/>
          <w:sz w:val="21"/>
          <w:szCs w:val="21"/>
          <w:highlight w:val="none"/>
          <w:shd w:val="clear" w:color="auto" w:fill="auto"/>
          <w:lang w:val="en-US" w:eastAsia="zh-CN" w:bidi="ar"/>
        </w:rPr>
        <w:t>/）</w:t>
      </w:r>
      <w:r>
        <w:rPr>
          <w:rFonts w:hint="eastAsia" w:ascii="宋体" w:hAnsi="宋体" w:eastAsia="宋体" w:cs="宋体"/>
          <w:color w:val="auto"/>
          <w:sz w:val="21"/>
          <w:szCs w:val="21"/>
          <w:highlight w:val="none"/>
        </w:rPr>
        <w:t>自行下载招标文件。</w:t>
      </w:r>
      <w:bookmarkEnd w:id="7"/>
    </w:p>
    <w:p w14:paraId="172FF6CA">
      <w:pPr>
        <w:keepNext w:val="0"/>
        <w:keepLines w:val="0"/>
        <w:pageBreakBefore w:val="0"/>
        <w:kinsoku/>
        <w:wordWrap/>
        <w:overflowPunct/>
        <w:topLinePunct w:val="0"/>
        <w:bidi w:val="0"/>
        <w:adjustRightInd/>
        <w:snapToGrid/>
        <w:spacing w:line="400" w:lineRule="exact"/>
        <w:ind w:firstLine="420" w:firstLine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.3招标文件网上下载时间：</w:t>
      </w:r>
      <w:bookmarkStart w:id="8" w:name="EB711a71a1d4074416afbde3071813b61c"/>
      <w:r>
        <w:rPr>
          <w:rFonts w:hint="eastAsia" w:ascii="宋体" w:hAnsi="宋体" w:eastAsia="宋体" w:cs="宋体"/>
          <w:i/>
          <w:iCs/>
          <w:color w:val="auto"/>
          <w:sz w:val="21"/>
          <w:szCs w:val="21"/>
          <w:highlight w:val="none"/>
        </w:rPr>
        <w:t>（</w:t>
      </w:r>
      <w:r>
        <w:rPr>
          <w:rFonts w:hint="eastAsia" w:ascii="宋体" w:hAnsi="宋体" w:eastAsia="宋体" w:cs="宋体"/>
          <w:i/>
          <w:iCs/>
          <w:color w:val="auto"/>
          <w:sz w:val="21"/>
          <w:szCs w:val="21"/>
          <w:highlight w:val="none"/>
          <w:u w:val="single"/>
        </w:rPr>
        <w:t>公告发布之日起至投标文件递交截止时间</w:t>
      </w:r>
      <w:bookmarkEnd w:id="8"/>
      <w:r>
        <w:rPr>
          <w:rFonts w:hint="eastAsia" w:ascii="宋体" w:hAnsi="宋体" w:eastAsia="宋体" w:cs="宋体"/>
          <w:i/>
          <w:iCs/>
          <w:color w:val="auto"/>
          <w:sz w:val="21"/>
          <w:szCs w:val="21"/>
          <w:highlight w:val="none"/>
        </w:rPr>
        <w:t>）</w:t>
      </w:r>
      <w:r>
        <w:rPr>
          <w:rFonts w:hint="eastAsia" w:ascii="宋体" w:hAnsi="宋体" w:eastAsia="宋体" w:cs="宋体"/>
          <w:i w:val="0"/>
          <w:iCs w:val="0"/>
          <w:color w:val="auto"/>
          <w:sz w:val="21"/>
          <w:szCs w:val="21"/>
          <w:highlight w:val="none"/>
        </w:rPr>
        <w:t>。</w:t>
      </w:r>
    </w:p>
    <w:p w14:paraId="657CCC21">
      <w:pPr>
        <w:keepNext w:val="0"/>
        <w:keepLines w:val="0"/>
        <w:pageBreakBefore w:val="0"/>
        <w:widowControl w:val="0"/>
        <w:suppressLineNumbers w:val="0"/>
        <w:shd w:val="clear" w:color="auto" w:fill="auto"/>
        <w:kinsoku/>
        <w:wordWrap/>
        <w:overflowPunct/>
        <w:topLinePunct w:val="0"/>
        <w:bidi w:val="0"/>
        <w:snapToGrid/>
        <w:spacing w:line="400" w:lineRule="exact"/>
        <w:ind w:left="0" w:leftChars="0" w:firstLine="420" w:firstLineChars="200"/>
        <w:jc w:val="both"/>
        <w:outlineLvl w:val="9"/>
        <w:rPr>
          <w:rFonts w:hint="eastAsia" w:ascii="宋体" w:hAnsi="宋体" w:eastAsia="宋体" w:cs="宋体"/>
          <w:i w:val="0"/>
          <w:caps w:val="0"/>
          <w:color w:val="auto"/>
          <w:spacing w:val="0"/>
          <w:kern w:val="0"/>
          <w:sz w:val="21"/>
          <w:szCs w:val="21"/>
          <w:highlight w:val="none"/>
          <w:shd w:val="clear" w:color="auto" w:fill="auto"/>
          <w:lang w:val="en-US" w:eastAsia="zh-CN" w:bidi="ar"/>
        </w:rPr>
      </w:pPr>
      <w:r>
        <w:rPr>
          <w:rFonts w:hint="eastAsia" w:ascii="宋体" w:hAnsi="宋体" w:cs="宋体"/>
          <w:i w:val="0"/>
          <w:caps w:val="0"/>
          <w:color w:val="auto"/>
          <w:spacing w:val="0"/>
          <w:kern w:val="0"/>
          <w:sz w:val="21"/>
          <w:szCs w:val="21"/>
          <w:highlight w:val="none"/>
          <w:shd w:val="clear" w:color="auto" w:fill="auto"/>
          <w:lang w:val="en-US" w:eastAsia="zh-CN" w:bidi="ar"/>
        </w:rPr>
        <w:t>4</w:t>
      </w:r>
      <w:r>
        <w:rPr>
          <w:rFonts w:hint="eastAsia" w:ascii="宋体" w:hAnsi="宋体" w:eastAsia="宋体" w:cs="宋体"/>
          <w:i w:val="0"/>
          <w:caps w:val="0"/>
          <w:color w:val="auto"/>
          <w:spacing w:val="0"/>
          <w:kern w:val="0"/>
          <w:sz w:val="21"/>
          <w:szCs w:val="21"/>
          <w:highlight w:val="none"/>
          <w:shd w:val="clear" w:color="auto" w:fill="auto"/>
          <w:lang w:val="en-US" w:eastAsia="zh-CN" w:bidi="ar"/>
        </w:rPr>
        <w:t>.4潜在投标人登录衢州市市县一体公共资源交易平台（</w:t>
      </w:r>
      <w:r>
        <w:rPr>
          <w:rFonts w:hint="eastAsia" w:ascii="宋体" w:hAnsi="宋体" w:eastAsia="宋体" w:cs="宋体"/>
          <w:i w:val="0"/>
          <w:caps w:val="0"/>
          <w:color w:val="auto"/>
          <w:spacing w:val="0"/>
          <w:sz w:val="21"/>
          <w:szCs w:val="21"/>
          <w:highlight w:val="none"/>
          <w:u w:val="none"/>
          <w:shd w:val="clear" w:color="auto" w:fill="auto"/>
        </w:rPr>
        <w:t>http</w:t>
      </w:r>
      <w:r>
        <w:rPr>
          <w:rFonts w:hint="eastAsia" w:ascii="宋体" w:hAnsi="宋体" w:eastAsia="宋体" w:cs="宋体"/>
          <w:i w:val="0"/>
          <w:caps w:val="0"/>
          <w:color w:val="auto"/>
          <w:spacing w:val="0"/>
          <w:sz w:val="21"/>
          <w:szCs w:val="21"/>
          <w:highlight w:val="none"/>
          <w:u w:val="none"/>
          <w:shd w:val="clear" w:color="auto" w:fill="auto"/>
          <w:lang w:val="en-US" w:eastAsia="zh-CN"/>
        </w:rPr>
        <w:t>s</w:t>
      </w:r>
      <w:r>
        <w:rPr>
          <w:rFonts w:hint="eastAsia" w:ascii="宋体" w:hAnsi="宋体" w:eastAsia="宋体" w:cs="宋体"/>
          <w:i w:val="0"/>
          <w:caps w:val="0"/>
          <w:color w:val="auto"/>
          <w:spacing w:val="0"/>
          <w:sz w:val="21"/>
          <w:szCs w:val="21"/>
          <w:highlight w:val="none"/>
          <w:u w:val="none"/>
          <w:shd w:val="clear" w:color="auto" w:fill="auto"/>
        </w:rPr>
        <w:t>://ggzy.qz.gov.cn</w:t>
      </w:r>
      <w:r>
        <w:rPr>
          <w:rFonts w:hint="eastAsia" w:ascii="宋体" w:hAnsi="宋体" w:eastAsia="宋体" w:cs="宋体"/>
          <w:i w:val="0"/>
          <w:caps w:val="0"/>
          <w:color w:val="auto"/>
          <w:spacing w:val="0"/>
          <w:kern w:val="0"/>
          <w:sz w:val="21"/>
          <w:szCs w:val="21"/>
          <w:highlight w:val="none"/>
          <w:shd w:val="clear" w:color="auto" w:fill="auto"/>
          <w:lang w:val="en-US" w:eastAsia="zh-CN" w:bidi="ar"/>
        </w:rPr>
        <w:t>/）办理投标人信息入库（衢州市级交易平台市场主体信息库，下同）备案事宜。</w:t>
      </w:r>
    </w:p>
    <w:p w14:paraId="2DA78B04">
      <w:pPr>
        <w:keepNext w:val="0"/>
        <w:keepLines w:val="0"/>
        <w:pageBreakBefore w:val="0"/>
        <w:widowControl w:val="0"/>
        <w:suppressLineNumbers w:val="0"/>
        <w:shd w:val="clear" w:color="auto" w:fill="auto"/>
        <w:kinsoku/>
        <w:wordWrap/>
        <w:overflowPunct/>
        <w:topLinePunct w:val="0"/>
        <w:bidi w:val="0"/>
        <w:snapToGrid/>
        <w:spacing w:line="400" w:lineRule="exact"/>
        <w:ind w:left="0" w:leftChars="0" w:firstLine="420" w:firstLineChars="200"/>
        <w:jc w:val="both"/>
        <w:outlineLvl w:val="9"/>
        <w:rPr>
          <w:rFonts w:hint="eastAsia" w:ascii="宋体" w:hAnsi="宋体" w:eastAsia="宋体" w:cs="宋体"/>
          <w:i w:val="0"/>
          <w:caps w:val="0"/>
          <w:color w:val="auto"/>
          <w:spacing w:val="0"/>
          <w:kern w:val="0"/>
          <w:sz w:val="21"/>
          <w:szCs w:val="21"/>
          <w:highlight w:val="none"/>
          <w:shd w:val="clear" w:color="auto" w:fill="auto"/>
          <w:lang w:val="en-US" w:eastAsia="zh-CN" w:bidi="ar"/>
        </w:rPr>
      </w:pPr>
      <w:r>
        <w:rPr>
          <w:rFonts w:hint="eastAsia" w:ascii="宋体" w:hAnsi="宋体" w:cs="宋体"/>
          <w:i w:val="0"/>
          <w:caps w:val="0"/>
          <w:color w:val="auto"/>
          <w:spacing w:val="0"/>
          <w:kern w:val="0"/>
          <w:sz w:val="21"/>
          <w:szCs w:val="21"/>
          <w:highlight w:val="none"/>
          <w:shd w:val="clear" w:color="auto" w:fill="auto"/>
          <w:lang w:val="en-US" w:eastAsia="zh-CN" w:bidi="ar"/>
        </w:rPr>
        <w:t>4</w:t>
      </w:r>
      <w:r>
        <w:rPr>
          <w:rFonts w:hint="eastAsia" w:ascii="宋体" w:hAnsi="宋体" w:eastAsia="宋体" w:cs="宋体"/>
          <w:i w:val="0"/>
          <w:caps w:val="0"/>
          <w:color w:val="auto"/>
          <w:spacing w:val="0"/>
          <w:kern w:val="0"/>
          <w:sz w:val="21"/>
          <w:szCs w:val="21"/>
          <w:highlight w:val="none"/>
          <w:shd w:val="clear" w:color="auto" w:fill="auto"/>
          <w:lang w:val="en-US" w:eastAsia="zh-CN" w:bidi="ar"/>
        </w:rPr>
        <w:t>.4.1未办理企业信息入库的投标人，根据显示界面提示免费注册，填写、上传相关主体信息，带“*”号的必填，填好后“提交”。 投标企业同时可申领招投标企业CA证书及电子签章。经公示三</w:t>
      </w:r>
      <w:r>
        <w:rPr>
          <w:rFonts w:hint="eastAsia" w:ascii="宋体" w:hAnsi="宋体" w:cs="宋体"/>
          <w:i w:val="0"/>
          <w:caps w:val="0"/>
          <w:color w:val="auto"/>
          <w:spacing w:val="0"/>
          <w:kern w:val="0"/>
          <w:sz w:val="21"/>
          <w:szCs w:val="21"/>
          <w:highlight w:val="none"/>
          <w:shd w:val="clear" w:color="auto" w:fill="auto"/>
          <w:lang w:val="en-US" w:eastAsia="zh-CN" w:bidi="ar"/>
        </w:rPr>
        <w:t>日</w:t>
      </w:r>
      <w:r>
        <w:rPr>
          <w:rFonts w:hint="eastAsia" w:ascii="宋体" w:hAnsi="宋体" w:eastAsia="宋体" w:cs="宋体"/>
          <w:i w:val="0"/>
          <w:caps w:val="0"/>
          <w:color w:val="auto"/>
          <w:spacing w:val="0"/>
          <w:kern w:val="0"/>
          <w:sz w:val="21"/>
          <w:szCs w:val="21"/>
          <w:highlight w:val="none"/>
          <w:shd w:val="clear" w:color="auto" w:fill="auto"/>
          <w:lang w:val="en-US" w:eastAsia="zh-CN" w:bidi="ar"/>
        </w:rPr>
        <w:t>后自动入库。具体操作可参考衢州市企业入库操作手册（投标人）。</w:t>
      </w:r>
    </w:p>
    <w:p w14:paraId="3C2AC4E4">
      <w:pPr>
        <w:pStyle w:val="40"/>
        <w:keepNext w:val="0"/>
        <w:keepLines w:val="0"/>
        <w:pageBreakBefore w:val="0"/>
        <w:widowControl w:val="0"/>
        <w:shd w:val="clear" w:color="auto" w:fill="auto"/>
        <w:kinsoku/>
        <w:wordWrap/>
        <w:overflowPunct/>
        <w:topLinePunct w:val="0"/>
        <w:autoSpaceDE w:val="0"/>
        <w:autoSpaceDN w:val="0"/>
        <w:bidi w:val="0"/>
        <w:adjustRightInd w:val="0"/>
        <w:snapToGrid/>
        <w:spacing w:line="400" w:lineRule="exact"/>
        <w:jc w:val="both"/>
        <w:textAlignment w:val="bottom"/>
        <w:outlineLvl w:val="9"/>
        <w:rPr>
          <w:rFonts w:hint="eastAsia" w:ascii="宋体" w:hAnsi="宋体" w:eastAsia="宋体" w:cs="宋体"/>
          <w:color w:val="auto"/>
          <w:sz w:val="21"/>
          <w:szCs w:val="21"/>
          <w:highlight w:val="none"/>
          <w:shd w:val="clear" w:color="auto" w:fill="auto"/>
          <w:lang w:val="en-US" w:eastAsia="zh-CN"/>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en-US" w:eastAsia="zh-CN"/>
        </w:rPr>
        <w:t>.4.2 CA办理：</w:t>
      </w:r>
    </w:p>
    <w:p w14:paraId="4A9AD12C">
      <w:pPr>
        <w:pStyle w:val="40"/>
        <w:keepNext w:val="0"/>
        <w:keepLines w:val="0"/>
        <w:pageBreakBefore w:val="0"/>
        <w:widowControl/>
        <w:shd w:val="clear" w:color="auto" w:fill="auto"/>
        <w:kinsoku/>
        <w:wordWrap/>
        <w:overflowPunct/>
        <w:topLinePunct w:val="0"/>
        <w:autoSpaceDE w:val="0"/>
        <w:autoSpaceDN w:val="0"/>
        <w:bidi w:val="0"/>
        <w:adjustRightInd w:val="0"/>
        <w:snapToGrid/>
        <w:spacing w:line="400" w:lineRule="exact"/>
        <w:jc w:val="both"/>
        <w:textAlignment w:val="bottom"/>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可选择浙江CA互认、天谷CA、联通CA;</w:t>
      </w:r>
    </w:p>
    <w:p w14:paraId="112809BF">
      <w:pPr>
        <w:pStyle w:val="40"/>
        <w:keepNext w:val="0"/>
        <w:keepLines w:val="0"/>
        <w:pageBreakBefore w:val="0"/>
        <w:widowControl/>
        <w:shd w:val="clear" w:color="auto" w:fill="auto"/>
        <w:kinsoku/>
        <w:wordWrap/>
        <w:overflowPunct/>
        <w:topLinePunct w:val="0"/>
        <w:autoSpaceDE w:val="0"/>
        <w:autoSpaceDN w:val="0"/>
        <w:bidi w:val="0"/>
        <w:adjustRightInd w:val="0"/>
        <w:snapToGrid/>
        <w:spacing w:line="400" w:lineRule="exact"/>
        <w:jc w:val="both"/>
        <w:textAlignment w:val="bottom"/>
        <w:outlineLvl w:val="9"/>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网址：</w:t>
      </w:r>
      <w:r>
        <w:rPr>
          <w:rFonts w:hint="eastAsia" w:ascii="宋体" w:hAnsi="宋体" w:eastAsia="宋体" w:cs="宋体"/>
          <w:color w:val="auto"/>
          <w:sz w:val="21"/>
          <w:szCs w:val="21"/>
          <w:highlight w:val="none"/>
          <w:u w:val="none"/>
          <w:shd w:val="clear" w:color="auto" w:fill="auto"/>
        </w:rPr>
        <w:t>http://zjpubservice.zjzwfw.gov.cn/zhejiangnew/ca_system.html</w:t>
      </w:r>
      <w:r>
        <w:rPr>
          <w:rFonts w:hint="eastAsia" w:ascii="宋体" w:hAnsi="宋体" w:eastAsia="宋体" w:cs="宋体"/>
          <w:color w:val="auto"/>
          <w:sz w:val="21"/>
          <w:szCs w:val="21"/>
          <w:highlight w:val="none"/>
          <w:shd w:val="clear" w:color="auto" w:fill="auto"/>
          <w:lang w:val="en-US" w:eastAsia="zh-CN"/>
        </w:rPr>
        <w:t>，联系电话：400-998-0000。</w:t>
      </w:r>
    </w:p>
    <w:p w14:paraId="2E0A4D5D">
      <w:pPr>
        <w:pStyle w:val="40"/>
        <w:keepNext w:val="0"/>
        <w:keepLines w:val="0"/>
        <w:pageBreakBefore w:val="0"/>
        <w:widowControl/>
        <w:shd w:val="clear" w:color="auto" w:fill="auto"/>
        <w:kinsoku/>
        <w:wordWrap/>
        <w:overflowPunct/>
        <w:topLinePunct w:val="0"/>
        <w:autoSpaceDE w:val="0"/>
        <w:autoSpaceDN w:val="0"/>
        <w:bidi w:val="0"/>
        <w:adjustRightInd w:val="0"/>
        <w:snapToGrid/>
        <w:spacing w:line="400" w:lineRule="exact"/>
        <w:jc w:val="both"/>
        <w:textAlignment w:val="bottom"/>
        <w:outlineLvl w:val="9"/>
        <w:rPr>
          <w:rFonts w:hint="eastAsia" w:ascii="宋体" w:hAnsi="宋体" w:eastAsia="宋体" w:cs="宋体"/>
          <w:color w:val="auto"/>
          <w:sz w:val="21"/>
          <w:szCs w:val="21"/>
          <w:highlight w:val="none"/>
          <w:shd w:val="clear" w:color="auto" w:fill="auto"/>
          <w:lang w:val="en-US" w:eastAsia="zh-CN"/>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en-US" w:eastAsia="zh-CN"/>
        </w:rPr>
        <w:t>.4.3 投标工具</w:t>
      </w:r>
    </w:p>
    <w:p w14:paraId="75F31B0E">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投标工具有以下四家：广联达、品茗、招天下，一标通、投标人可自行选择。</w:t>
      </w:r>
    </w:p>
    <w:p w14:paraId="66DFB0DE">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广联达公司联系方式，徐工，0570-8757622，客服电话：4000166166；</w:t>
      </w:r>
    </w:p>
    <w:p w14:paraId="6E4E6943">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品茗公司联系方式，邱工，0571-58982003；</w:t>
      </w:r>
    </w:p>
    <w:p w14:paraId="7D3A7464">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招天下公司联系方式，400-0571-337；</w:t>
      </w:r>
    </w:p>
    <w:p w14:paraId="4A4C89CC">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一标通公司联系方式，徐工，0571-82483213。</w:t>
      </w:r>
    </w:p>
    <w:p w14:paraId="76E3A885">
      <w:pPr>
        <w:pStyle w:val="40"/>
        <w:keepNext w:val="0"/>
        <w:keepLines w:val="0"/>
        <w:pageBreakBefore w:val="0"/>
        <w:shd w:val="clear" w:color="auto" w:fill="auto"/>
        <w:kinsoku/>
        <w:wordWrap/>
        <w:overflowPunct/>
        <w:topLinePunct w:val="0"/>
        <w:bidi w:val="0"/>
        <w:adjustRightInd w:val="0"/>
        <w:snapToGrid/>
        <w:spacing w:line="400" w:lineRule="exact"/>
        <w:jc w:val="both"/>
        <w:outlineLvl w:val="9"/>
        <w:rPr>
          <w:rFonts w:hint="eastAsia" w:ascii="宋体" w:hAnsi="宋体" w:eastAsia="宋体" w:cs="宋体"/>
          <w:color w:val="auto"/>
          <w:sz w:val="21"/>
          <w:szCs w:val="21"/>
          <w:highlight w:val="none"/>
          <w:shd w:val="clear" w:color="auto" w:fill="auto"/>
          <w:lang w:val="en-US" w:eastAsia="zh-CN"/>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en-US" w:eastAsia="zh-CN"/>
        </w:rPr>
        <w:t>.5潜在投标人可在衢州市市县一体公共资源交易平台（</w:t>
      </w:r>
      <w:r>
        <w:rPr>
          <w:rFonts w:hint="eastAsia" w:ascii="宋体" w:hAnsi="宋体" w:eastAsia="宋体" w:cs="宋体"/>
          <w:color w:val="auto"/>
          <w:sz w:val="21"/>
          <w:szCs w:val="21"/>
          <w:highlight w:val="none"/>
          <w:u w:val="none"/>
          <w:shd w:val="clear" w:color="auto" w:fill="auto"/>
        </w:rPr>
        <w:t>http</w:t>
      </w:r>
      <w:r>
        <w:rPr>
          <w:rFonts w:hint="eastAsia" w:ascii="宋体" w:hAnsi="宋体" w:eastAsia="宋体" w:cs="宋体"/>
          <w:color w:val="auto"/>
          <w:sz w:val="21"/>
          <w:szCs w:val="21"/>
          <w:highlight w:val="none"/>
          <w:u w:val="none"/>
          <w:shd w:val="clear" w:color="auto" w:fill="auto"/>
          <w:lang w:val="en-US" w:eastAsia="zh-CN"/>
        </w:rPr>
        <w:t>s</w:t>
      </w:r>
      <w:r>
        <w:rPr>
          <w:rFonts w:hint="eastAsia" w:ascii="宋体" w:hAnsi="宋体" w:eastAsia="宋体" w:cs="宋体"/>
          <w:color w:val="auto"/>
          <w:sz w:val="21"/>
          <w:szCs w:val="21"/>
          <w:highlight w:val="none"/>
          <w:u w:val="none"/>
          <w:shd w:val="clear" w:color="auto" w:fill="auto"/>
        </w:rPr>
        <w:t>://ggzy.qz.gov.cn</w:t>
      </w:r>
      <w:r>
        <w:rPr>
          <w:rFonts w:hint="eastAsia" w:ascii="宋体" w:hAnsi="宋体" w:eastAsia="宋体" w:cs="宋体"/>
          <w:color w:val="auto"/>
          <w:sz w:val="21"/>
          <w:szCs w:val="21"/>
          <w:highlight w:val="none"/>
          <w:shd w:val="clear" w:color="auto" w:fill="auto"/>
          <w:lang w:val="en-US" w:eastAsia="zh-CN"/>
        </w:rPr>
        <w:t>/）免费下载招标文件（含施工图纸、工程量清单等）。确定参加投标的企业可凭本单位CA数字证书</w:t>
      </w:r>
      <w:r>
        <w:rPr>
          <w:rFonts w:hint="eastAsia" w:hAnsi="宋体" w:cs="宋体"/>
          <w:color w:val="auto"/>
          <w:sz w:val="21"/>
          <w:szCs w:val="21"/>
          <w:highlight w:val="none"/>
          <w:shd w:val="clear" w:color="auto" w:fill="auto"/>
          <w:lang w:val="en-US" w:eastAsia="zh-CN"/>
        </w:rPr>
        <w:t>登录</w:t>
      </w:r>
      <w:r>
        <w:rPr>
          <w:rFonts w:hint="eastAsia" w:ascii="宋体" w:hAnsi="宋体" w:eastAsia="宋体" w:cs="宋体"/>
          <w:color w:val="auto"/>
          <w:sz w:val="21"/>
          <w:szCs w:val="21"/>
          <w:highlight w:val="none"/>
          <w:shd w:val="clear" w:color="auto" w:fill="auto"/>
          <w:lang w:val="en-US" w:eastAsia="zh-CN"/>
        </w:rPr>
        <w:t>衢州市公共资源电子交易系统，按照操作手册在对应模块下载领取。</w:t>
      </w:r>
    </w:p>
    <w:p w14:paraId="782FF3C5">
      <w:pPr>
        <w:pStyle w:val="40"/>
        <w:keepNext w:val="0"/>
        <w:keepLines w:val="0"/>
        <w:pageBreakBefore w:val="0"/>
        <w:shd w:val="clear" w:color="auto" w:fill="auto"/>
        <w:kinsoku/>
        <w:wordWrap/>
        <w:overflowPunct/>
        <w:topLinePunct w:val="0"/>
        <w:bidi w:val="0"/>
        <w:adjustRightInd w:val="0"/>
        <w:snapToGrid/>
        <w:spacing w:line="400" w:lineRule="exact"/>
        <w:ind w:firstLine="420" w:firstLineChars="200"/>
        <w:jc w:val="both"/>
        <w:outlineLvl w:val="9"/>
        <w:rPr>
          <w:rFonts w:hint="eastAsia" w:ascii="宋体" w:hAnsi="宋体" w:eastAsia="宋体" w:cs="宋体"/>
          <w:color w:val="auto"/>
          <w:sz w:val="21"/>
          <w:szCs w:val="21"/>
          <w:highlight w:val="none"/>
        </w:rPr>
      </w:pPr>
      <w:r>
        <w:rPr>
          <w:rFonts w:hint="eastAsia" w:hAnsi="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en-US" w:eastAsia="zh-CN"/>
        </w:rPr>
        <w:t>.6潜在投标人对招标文件有异议的，应通过衢州市公共资源电子交易系统或书面向招标人提出。提交异议截止日为</w:t>
      </w:r>
      <w:r>
        <w:rPr>
          <w:rFonts w:hint="eastAsia" w:ascii="宋体" w:hAnsi="宋体" w:eastAsia="宋体" w:cs="宋体"/>
          <w:color w:val="auto"/>
          <w:spacing w:val="2"/>
          <w:sz w:val="21"/>
          <w:szCs w:val="21"/>
          <w:highlight w:val="none"/>
          <w:u w:val="single"/>
          <w:lang w:val="en-US" w:eastAsia="zh-CN"/>
        </w:rPr>
        <w:t>2024</w:t>
      </w:r>
      <w:r>
        <w:rPr>
          <w:rFonts w:hint="eastAsia" w:ascii="宋体" w:hAnsi="宋体" w:eastAsia="宋体" w:cs="宋体"/>
          <w:color w:val="auto"/>
          <w:spacing w:val="2"/>
          <w:sz w:val="21"/>
          <w:szCs w:val="21"/>
          <w:highlight w:val="none"/>
        </w:rPr>
        <w:t>年</w:t>
      </w:r>
      <w:r>
        <w:rPr>
          <w:rFonts w:hint="eastAsia" w:hAnsi="宋体" w:cs="宋体"/>
          <w:color w:val="auto"/>
          <w:spacing w:val="2"/>
          <w:sz w:val="21"/>
          <w:szCs w:val="21"/>
          <w:highlight w:val="none"/>
          <w:u w:val="single"/>
          <w:lang w:val="en-US" w:eastAsia="zh-CN"/>
        </w:rPr>
        <w:t xml:space="preserve"> 10 </w:t>
      </w:r>
      <w:r>
        <w:rPr>
          <w:rFonts w:hint="eastAsia" w:ascii="宋体" w:hAnsi="宋体" w:eastAsia="宋体" w:cs="宋体"/>
          <w:color w:val="auto"/>
          <w:spacing w:val="2"/>
          <w:sz w:val="21"/>
          <w:szCs w:val="21"/>
          <w:highlight w:val="none"/>
        </w:rPr>
        <w:t>月</w:t>
      </w:r>
      <w:r>
        <w:rPr>
          <w:rFonts w:hint="eastAsia" w:hAnsi="宋体" w:cs="宋体"/>
          <w:color w:val="auto"/>
          <w:spacing w:val="2"/>
          <w:sz w:val="21"/>
          <w:szCs w:val="21"/>
          <w:highlight w:val="none"/>
          <w:u w:val="single"/>
          <w:lang w:val="en-US" w:eastAsia="zh-CN"/>
        </w:rPr>
        <w:t xml:space="preserve"> 20 </w:t>
      </w:r>
      <w:r>
        <w:rPr>
          <w:rFonts w:hint="eastAsia" w:ascii="宋体" w:hAnsi="宋体" w:eastAsia="宋体" w:cs="宋体"/>
          <w:color w:val="auto"/>
          <w:spacing w:val="2"/>
          <w:sz w:val="21"/>
          <w:szCs w:val="21"/>
          <w:highlight w:val="none"/>
        </w:rPr>
        <w:t>日</w:t>
      </w:r>
      <w:r>
        <w:rPr>
          <w:rFonts w:hint="eastAsia" w:hAnsi="宋体" w:cs="宋体"/>
          <w:color w:val="auto"/>
          <w:spacing w:val="2"/>
          <w:sz w:val="21"/>
          <w:szCs w:val="21"/>
          <w:highlight w:val="none"/>
          <w:u w:val="single"/>
          <w:lang w:val="en-US" w:eastAsia="zh-CN"/>
        </w:rPr>
        <w:t xml:space="preserve"> 17:30 </w:t>
      </w:r>
      <w:r>
        <w:rPr>
          <w:rFonts w:hint="eastAsia" w:hAnsi="宋体" w:cs="宋体"/>
          <w:color w:val="auto"/>
          <w:spacing w:val="2"/>
          <w:sz w:val="21"/>
          <w:szCs w:val="21"/>
          <w:highlight w:val="none"/>
          <w:lang w:val="en-US" w:eastAsia="zh-CN"/>
        </w:rPr>
        <w:t>时</w:t>
      </w:r>
      <w:r>
        <w:rPr>
          <w:rFonts w:hint="eastAsia" w:ascii="宋体" w:hAnsi="宋体" w:eastAsia="宋体" w:cs="宋体"/>
          <w:color w:val="auto"/>
          <w:sz w:val="21"/>
          <w:szCs w:val="21"/>
          <w:highlight w:val="none"/>
          <w:shd w:val="clear" w:color="auto" w:fill="auto"/>
          <w:lang w:val="en-US" w:eastAsia="zh-CN"/>
        </w:rPr>
        <w:t>。招标人将在衢州市市县一体公共资源交易平台上发布补充（答疑、澄清）文件。潜在投标人应自行关注网站公告，招标人不再书面通知。投标人因自身贻误行为导致投标失败的，责任自负。</w:t>
      </w:r>
    </w:p>
    <w:p w14:paraId="4A065E80">
      <w:pPr>
        <w:keepNext w:val="0"/>
        <w:keepLines w:val="0"/>
        <w:pageBreakBefore w:val="0"/>
        <w:kinsoku/>
        <w:wordWrap/>
        <w:overflowPunct/>
        <w:topLinePunct w:val="0"/>
        <w:bidi w:val="0"/>
        <w:adjustRightInd/>
        <w:snapToGrid/>
        <w:spacing w:line="400" w:lineRule="exact"/>
        <w:jc w:val="both"/>
        <w:rPr>
          <w:rFonts w:hint="eastAsia" w:ascii="宋体" w:hAnsi="宋体" w:eastAsia="宋体" w:cs="宋体"/>
          <w:b/>
          <w:color w:val="auto"/>
          <w:sz w:val="21"/>
          <w:szCs w:val="21"/>
          <w:highlight w:val="none"/>
        </w:rPr>
      </w:pPr>
      <w:bookmarkStart w:id="9" w:name="_Toc22828056"/>
      <w:bookmarkStart w:id="10" w:name="_Toc24050274"/>
      <w:bookmarkStart w:id="11" w:name="_Toc45697225"/>
      <w:bookmarkStart w:id="12" w:name="_Toc22827973"/>
      <w:bookmarkStart w:id="13" w:name="_Toc26002055"/>
      <w:bookmarkStart w:id="14" w:name="_Toc26002002"/>
      <w:bookmarkStart w:id="15" w:name="_Toc5207"/>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.投标文件的递交</w:t>
      </w:r>
      <w:bookmarkEnd w:id="9"/>
      <w:bookmarkEnd w:id="10"/>
      <w:bookmarkEnd w:id="11"/>
      <w:bookmarkEnd w:id="12"/>
      <w:bookmarkEnd w:id="13"/>
      <w:bookmarkEnd w:id="14"/>
      <w:bookmarkEnd w:id="15"/>
    </w:p>
    <w:p w14:paraId="433E021E">
      <w:pPr>
        <w:pStyle w:val="10"/>
        <w:keepNext w:val="0"/>
        <w:keepLines w:val="0"/>
        <w:pageBreakBefore w:val="0"/>
        <w:tabs>
          <w:tab w:val="left" w:pos="8381"/>
        </w:tabs>
        <w:kinsoku/>
        <w:wordWrap/>
        <w:overflowPunct/>
        <w:topLinePunct w:val="0"/>
        <w:bidi w:val="0"/>
        <w:adjustRightInd/>
        <w:snapToGrid/>
        <w:spacing w:after="0" w:afterLines="0" w:line="400" w:lineRule="exact"/>
        <w:ind w:left="0" w:firstLine="420" w:firstLineChars="20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.1投标文件递交的截止时间（投标截止时间，下同）为</w:t>
      </w:r>
      <w:r>
        <w:rPr>
          <w:rFonts w:hint="eastAsia" w:ascii="宋体" w:hAnsi="宋体" w:eastAsia="宋体" w:cs="宋体"/>
          <w:color w:val="auto"/>
          <w:highlight w:val="none"/>
          <w:u w:val="single"/>
          <w:lang w:val="en-US" w:eastAsia="zh-CN"/>
        </w:rPr>
        <w:t>2024</w:t>
      </w:r>
      <w:r>
        <w:rPr>
          <w:rFonts w:hint="eastAsia" w:ascii="宋体" w:hAnsi="宋体" w:eastAsia="宋体" w:cs="宋体"/>
          <w:color w:val="auto"/>
          <w:highlight w:val="none"/>
        </w:rPr>
        <w:t>年</w:t>
      </w:r>
      <w:r>
        <w:rPr>
          <w:rFonts w:hint="eastAsia" w:ascii="宋体" w:hAnsi="宋体" w:cs="宋体"/>
          <w:color w:val="auto"/>
          <w:highlight w:val="none"/>
          <w:u w:val="single"/>
          <w:lang w:val="en-US" w:eastAsia="zh-CN"/>
        </w:rPr>
        <w:t xml:space="preserve">10 </w:t>
      </w:r>
      <w:r>
        <w:rPr>
          <w:rFonts w:hint="eastAsia" w:ascii="宋体" w:hAnsi="宋体" w:eastAsia="宋体" w:cs="宋体"/>
          <w:color w:val="auto"/>
          <w:highlight w:val="none"/>
        </w:rPr>
        <w:t>月</w:t>
      </w:r>
      <w:r>
        <w:rPr>
          <w:rFonts w:hint="eastAsia" w:ascii="宋体" w:hAnsi="宋体" w:cs="宋体"/>
          <w:color w:val="auto"/>
          <w:highlight w:val="none"/>
          <w:u w:val="single"/>
          <w:lang w:val="en-US" w:eastAsia="zh-CN"/>
        </w:rPr>
        <w:t xml:space="preserve"> 31 </w:t>
      </w:r>
      <w:r>
        <w:rPr>
          <w:rFonts w:hint="eastAsia" w:ascii="宋体" w:hAnsi="宋体" w:eastAsia="宋体" w:cs="宋体"/>
          <w:color w:val="auto"/>
          <w:highlight w:val="none"/>
        </w:rPr>
        <w:t>日</w:t>
      </w:r>
      <w:r>
        <w:rPr>
          <w:rFonts w:hint="eastAsia" w:ascii="宋体" w:hAnsi="宋体" w:cs="宋体"/>
          <w:color w:val="auto"/>
          <w:highlight w:val="none"/>
          <w:u w:val="single"/>
          <w:lang w:val="en-US" w:eastAsia="zh-CN"/>
        </w:rPr>
        <w:t xml:space="preserve"> 9 </w:t>
      </w:r>
      <w:r>
        <w:rPr>
          <w:rFonts w:hint="eastAsia" w:ascii="宋体" w:hAnsi="宋体" w:eastAsia="宋体" w:cs="宋体"/>
          <w:color w:val="auto"/>
          <w:highlight w:val="none"/>
        </w:rPr>
        <w:t>时</w:t>
      </w:r>
      <w:r>
        <w:rPr>
          <w:rFonts w:hint="eastAsia" w:ascii="宋体" w:hAnsi="宋体" w:cs="宋体"/>
          <w:color w:val="auto"/>
          <w:highlight w:val="none"/>
          <w:u w:val="single"/>
          <w:lang w:val="en-US" w:eastAsia="zh-CN"/>
        </w:rPr>
        <w:t>00</w:t>
      </w:r>
      <w:r>
        <w:rPr>
          <w:rFonts w:hint="eastAsia" w:ascii="宋体" w:hAnsi="宋体" w:eastAsia="宋体" w:cs="宋体"/>
          <w:color w:val="auto"/>
          <w:highlight w:val="none"/>
        </w:rPr>
        <w:t>分</w:t>
      </w:r>
      <w:r>
        <w:rPr>
          <w:rFonts w:hint="eastAsia" w:ascii="宋体" w:hAnsi="宋体" w:eastAsia="宋体" w:cs="宋体"/>
          <w:color w:val="auto"/>
          <w:spacing w:val="-1"/>
          <w:sz w:val="21"/>
          <w:szCs w:val="21"/>
          <w:highlight w:val="none"/>
        </w:rPr>
        <w:t>，</w:t>
      </w:r>
      <w:r>
        <w:rPr>
          <w:rFonts w:hint="eastAsia" w:ascii="宋体" w:hAnsi="宋体" w:eastAsia="宋体" w:cs="宋体"/>
          <w:color w:val="auto"/>
          <w:sz w:val="21"/>
          <w:szCs w:val="21"/>
          <w:highlight w:val="none"/>
        </w:rPr>
        <w:t>电子招标投标交易平台</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shd w:val="clear" w:color="auto" w:fill="auto"/>
          <w:lang w:val="en-US" w:eastAsia="zh-CN"/>
        </w:rPr>
        <w:t>衢州市公共资源电子交易系统（</w:t>
      </w:r>
      <w:r>
        <w:rPr>
          <w:rFonts w:hint="eastAsia" w:ascii="宋体" w:hAnsi="宋体" w:eastAsia="宋体" w:cs="宋体"/>
          <w:color w:val="auto"/>
          <w:sz w:val="21"/>
          <w:szCs w:val="21"/>
          <w:highlight w:val="none"/>
          <w:u w:val="none"/>
          <w:shd w:val="clear" w:color="auto" w:fill="auto"/>
          <w:lang w:val="en-US" w:eastAsia="zh-CN"/>
        </w:rPr>
        <w:t>http</w:t>
      </w:r>
      <w:r>
        <w:rPr>
          <w:rFonts w:hint="eastAsia" w:ascii="宋体" w:hAnsi="宋体" w:eastAsia="宋体" w:cs="宋体"/>
          <w:color w:val="auto"/>
          <w:sz w:val="21"/>
          <w:szCs w:val="21"/>
          <w:highlight w:val="none"/>
          <w:u w:val="none"/>
          <w:shd w:val="clear" w:color="auto" w:fill="auto"/>
          <w:lang w:val="en" w:eastAsia="zh-CN"/>
        </w:rPr>
        <w:t>s</w:t>
      </w:r>
      <w:r>
        <w:rPr>
          <w:rFonts w:hint="eastAsia" w:ascii="宋体" w:hAnsi="宋体" w:eastAsia="宋体" w:cs="宋体"/>
          <w:color w:val="auto"/>
          <w:sz w:val="21"/>
          <w:szCs w:val="21"/>
          <w:highlight w:val="none"/>
          <w:u w:val="none"/>
          <w:shd w:val="clear" w:color="auto" w:fill="auto"/>
          <w:lang w:val="en-US" w:eastAsia="zh-CN"/>
        </w:rPr>
        <w:t>://ggzy.qz.gov.cn</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rPr>
        <w:t>。</w:t>
      </w:r>
    </w:p>
    <w:p w14:paraId="52CE75F7">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jc w:val="both"/>
        <w:textAlignment w:val="auto"/>
        <w:outlineLvl w:val="9"/>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val="en-US" w:eastAsia="zh-CN"/>
        </w:rPr>
        <w:t>6.</w:t>
      </w:r>
      <w:r>
        <w:rPr>
          <w:rFonts w:hint="eastAsia" w:ascii="宋体" w:hAnsi="宋体" w:cs="宋体"/>
          <w:b/>
          <w:color w:val="auto"/>
          <w:sz w:val="21"/>
          <w:szCs w:val="21"/>
          <w:highlight w:val="none"/>
          <w:lang w:eastAsia="zh-CN"/>
        </w:rPr>
        <w:t>招投标方式</w:t>
      </w:r>
    </w:p>
    <w:p w14:paraId="786FD4A4">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6.1公开招标。</w:t>
      </w:r>
    </w:p>
    <w:p w14:paraId="309AEA8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color w:val="auto"/>
          <w:highlight w:val="none"/>
        </w:rPr>
        <w:t>6.2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采用评定分离，☐不采用评定分离。</w:t>
      </w:r>
    </w:p>
    <w:p w14:paraId="44FF50D1">
      <w:pPr>
        <w:keepNext w:val="0"/>
        <w:keepLines w:val="0"/>
        <w:pageBreakBefore w:val="0"/>
        <w:kinsoku/>
        <w:wordWrap/>
        <w:overflowPunct/>
        <w:topLinePunct w:val="0"/>
        <w:bidi w:val="0"/>
        <w:adjustRightInd/>
        <w:snapToGrid/>
        <w:spacing w:line="400" w:lineRule="exact"/>
        <w:jc w:val="both"/>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rPr>
        <w:t>联系方式</w:t>
      </w:r>
    </w:p>
    <w:p w14:paraId="6A892BC4">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rPr>
      </w:pPr>
      <w:r>
        <w:rPr>
          <w:rFonts w:ascii="宋体" w:hAnsi="宋体"/>
          <w:color w:val="auto"/>
        </w:rPr>
        <w:t>招标人：</w:t>
      </w:r>
      <w:r>
        <w:rPr>
          <w:rFonts w:hint="eastAsia"/>
          <w:color w:val="auto"/>
          <w:u w:val="single"/>
          <w:lang w:eastAsia="zh-CN"/>
        </w:rPr>
        <w:t>开化县城镇有机更新有限公司</w:t>
      </w:r>
      <w:r>
        <w:rPr>
          <w:rFonts w:hint="eastAsia"/>
          <w:color w:val="auto"/>
          <w:u w:val="single"/>
          <w:lang w:val="en-US" w:eastAsia="zh-CN"/>
        </w:rPr>
        <w:t xml:space="preserve">     </w:t>
      </w:r>
      <w:r>
        <w:rPr>
          <w:rFonts w:hint="eastAsia" w:ascii="宋体" w:hAnsi="宋体"/>
          <w:color w:val="auto"/>
          <w:u w:val="single"/>
          <w:lang w:val="en-US" w:eastAsia="zh-CN"/>
        </w:rPr>
        <w:t xml:space="preserve"> </w:t>
      </w:r>
      <w:r>
        <w:rPr>
          <w:rFonts w:hint="eastAsia"/>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w:t>
      </w:r>
      <w:r>
        <w:rPr>
          <w:rFonts w:hint="eastAsia" w:ascii="宋体" w:hAnsi="宋体"/>
          <w:color w:val="auto"/>
        </w:rPr>
        <w:t>招</w:t>
      </w:r>
      <w:r>
        <w:rPr>
          <w:rFonts w:ascii="宋体" w:hAnsi="宋体"/>
          <w:color w:val="auto"/>
        </w:rPr>
        <w:t>标代理：</w:t>
      </w:r>
      <w:r>
        <w:rPr>
          <w:rFonts w:hint="eastAsia" w:ascii="宋体" w:hAnsi="宋体"/>
          <w:color w:val="auto"/>
          <w:u w:val="single"/>
          <w:lang w:eastAsia="zh-CN"/>
        </w:rPr>
        <w:t xml:space="preserve">浙江中际工程项目管理有限公司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14:paraId="7C380206">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u w:val="single"/>
        </w:rPr>
      </w:pPr>
      <w:r>
        <w:rPr>
          <w:rFonts w:ascii="宋体" w:hAnsi="宋体"/>
          <w:color w:val="auto"/>
        </w:rPr>
        <w:t>地  址：</w:t>
      </w:r>
      <w:r>
        <w:rPr>
          <w:rFonts w:hint="eastAsia" w:ascii="宋体" w:hAnsi="宋体"/>
          <w:color w:val="auto"/>
          <w:u w:val="single"/>
          <w:lang w:eastAsia="zh-CN"/>
        </w:rPr>
        <w:t xml:space="preserve">开化县华埠镇得阳大厦A座502室 </w:t>
      </w:r>
      <w:r>
        <w:rPr>
          <w:rFonts w:hint="eastAsia"/>
          <w:color w:val="auto"/>
          <w:u w:val="single"/>
          <w:lang w:val="en-US" w:eastAsia="zh-CN"/>
        </w:rPr>
        <w:t xml:space="preserve">      </w:t>
      </w:r>
      <w:r>
        <w:rPr>
          <w:rFonts w:ascii="宋体" w:hAnsi="宋体"/>
          <w:color w:val="auto"/>
        </w:rPr>
        <w:t>地</w:t>
      </w:r>
      <w:r>
        <w:rPr>
          <w:rFonts w:hint="eastAsia" w:ascii="宋体" w:hAnsi="宋体"/>
          <w:color w:val="auto"/>
          <w:lang w:val="en-US" w:eastAsia="zh-CN"/>
        </w:rPr>
        <w:t xml:space="preserve">   </w:t>
      </w:r>
      <w:r>
        <w:rPr>
          <w:rFonts w:ascii="宋体" w:hAnsi="宋体"/>
          <w:color w:val="auto"/>
        </w:rPr>
        <w:t>址：</w:t>
      </w:r>
      <w:r>
        <w:rPr>
          <w:rFonts w:hint="eastAsia" w:ascii="宋体" w:hAnsi="宋体"/>
          <w:color w:val="auto"/>
          <w:spacing w:val="-8"/>
          <w:u w:val="single"/>
          <w:lang w:eastAsia="zh-CN"/>
        </w:rPr>
        <w:t>开化县江宁路58号</w:t>
      </w:r>
      <w:r>
        <w:rPr>
          <w:rFonts w:hint="eastAsia" w:ascii="宋体" w:hAnsi="宋体"/>
          <w:color w:val="auto"/>
          <w:spacing w:val="-8"/>
          <w:u w:val="single"/>
        </w:rPr>
        <w:t xml:space="preserve">          </w:t>
      </w:r>
      <w:r>
        <w:rPr>
          <w:rFonts w:hint="eastAsia" w:ascii="宋体" w:hAnsi="宋体"/>
          <w:color w:val="auto"/>
          <w:spacing w:val="-8"/>
          <w:u w:val="single"/>
          <w:lang w:val="en-US" w:eastAsia="zh-CN"/>
        </w:rPr>
        <w:t xml:space="preserve"> </w:t>
      </w:r>
      <w:r>
        <w:rPr>
          <w:rFonts w:hint="eastAsia" w:ascii="宋体" w:hAnsi="宋体"/>
          <w:color w:val="auto"/>
          <w:spacing w:val="-8"/>
          <w:u w:val="single"/>
        </w:rPr>
        <w:t xml:space="preserve">    </w:t>
      </w:r>
    </w:p>
    <w:p w14:paraId="3DAFDEF8">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u w:val="single"/>
        </w:rPr>
      </w:pPr>
      <w:r>
        <w:rPr>
          <w:rFonts w:ascii="宋体" w:hAnsi="宋体"/>
          <w:color w:val="auto"/>
        </w:rPr>
        <w:t>邮</w:t>
      </w:r>
      <w:r>
        <w:rPr>
          <w:rFonts w:hint="eastAsia" w:ascii="宋体" w:hAnsi="宋体"/>
          <w:color w:val="auto"/>
        </w:rPr>
        <w:t xml:space="preserve">  </w:t>
      </w:r>
      <w:r>
        <w:rPr>
          <w:rFonts w:ascii="宋体" w:hAnsi="宋体"/>
          <w:color w:val="auto"/>
        </w:rPr>
        <w:t>编：</w:t>
      </w:r>
      <w:r>
        <w:rPr>
          <w:rFonts w:ascii="宋体" w:hAnsi="宋体"/>
          <w:color w:val="auto"/>
          <w:u w:val="single"/>
        </w:rPr>
        <w:t xml:space="preserve"> </w:t>
      </w:r>
      <w:r>
        <w:rPr>
          <w:rFonts w:hint="eastAsia" w:ascii="宋体" w:hAnsi="宋体"/>
          <w:color w:val="auto"/>
          <w:u w:val="single"/>
        </w:rPr>
        <w:t xml:space="preserve">  324300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邮</w:t>
      </w:r>
      <w:r>
        <w:rPr>
          <w:rFonts w:hint="eastAsia" w:ascii="宋体" w:hAnsi="宋体"/>
          <w:color w:val="auto"/>
          <w:lang w:val="en-US" w:eastAsia="zh-CN"/>
        </w:rPr>
        <w:t xml:space="preserve">    </w:t>
      </w:r>
      <w:r>
        <w:rPr>
          <w:rFonts w:ascii="宋体" w:hAnsi="宋体"/>
          <w:color w:val="auto"/>
        </w:rPr>
        <w:t>编：</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324300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14:paraId="5617C0ED">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u w:val="single"/>
        </w:rPr>
      </w:pPr>
      <w:r>
        <w:rPr>
          <w:rFonts w:ascii="宋体" w:hAnsi="宋体"/>
          <w:color w:val="auto"/>
        </w:rPr>
        <w:t>联系人：</w:t>
      </w:r>
      <w:r>
        <w:rPr>
          <w:rFonts w:ascii="宋体" w:hAnsi="宋体"/>
          <w:color w:val="auto"/>
          <w:u w:val="single"/>
        </w:rPr>
        <w:t xml:space="preserve">  </w:t>
      </w:r>
      <w:r>
        <w:rPr>
          <w:rFonts w:hint="eastAsia"/>
          <w:color w:val="auto"/>
          <w:spacing w:val="-4"/>
          <w:u w:val="single"/>
        </w:rPr>
        <w:t xml:space="preserve"> </w:t>
      </w:r>
      <w:r>
        <w:rPr>
          <w:rFonts w:hint="eastAsia"/>
          <w:color w:val="auto"/>
          <w:spacing w:val="-4"/>
          <w:u w:val="single"/>
          <w:lang w:eastAsia="zh-CN"/>
        </w:rPr>
        <w:t>詹先生</w:t>
      </w:r>
      <w:r>
        <w:rPr>
          <w:rFonts w:hint="eastAsia"/>
          <w:color w:val="auto"/>
          <w:spacing w:val="-4"/>
          <w:u w:val="single"/>
          <w:lang w:val="en-US" w:eastAsia="zh-CN"/>
        </w:rPr>
        <w:t xml:space="preserve">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r>
        <w:rPr>
          <w:rFonts w:hint="eastAsia" w:ascii="宋体" w:hAnsi="宋体"/>
          <w:color w:val="auto"/>
          <w:sz w:val="10"/>
          <w:szCs w:val="10"/>
          <w:u w:val="single"/>
        </w:rPr>
        <w:t xml:space="preserve"> </w:t>
      </w:r>
      <w:r>
        <w:rPr>
          <w:rFonts w:ascii="宋体" w:hAnsi="宋体"/>
          <w:color w:val="auto"/>
        </w:rPr>
        <w:t>联 系 人：</w:t>
      </w:r>
      <w:r>
        <w:rPr>
          <w:rFonts w:ascii="宋体" w:hAnsi="宋体"/>
          <w:color w:val="auto"/>
          <w:u w:val="single"/>
        </w:rPr>
        <w:t xml:space="preserve">   </w:t>
      </w:r>
      <w:r>
        <w:rPr>
          <w:rFonts w:hint="eastAsia" w:ascii="宋体" w:hAnsi="宋体"/>
          <w:color w:val="auto"/>
          <w:u w:val="single"/>
          <w:lang w:eastAsia="zh-CN"/>
        </w:rPr>
        <w:t>徐女士</w:t>
      </w:r>
      <w:r>
        <w:rPr>
          <w:rFonts w:ascii="宋体" w:hAnsi="宋体"/>
          <w:color w:val="auto"/>
          <w:u w:val="single"/>
        </w:rPr>
        <w:t xml:space="preserve">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14:paraId="135622F4">
      <w:pPr>
        <w:keepNext w:val="0"/>
        <w:keepLines w:val="0"/>
        <w:pageBreakBefore w:val="0"/>
        <w:kinsoku/>
        <w:wordWrap/>
        <w:overflowPunct/>
        <w:topLinePunct w:val="0"/>
        <w:autoSpaceDE/>
        <w:autoSpaceDN/>
        <w:bidi w:val="0"/>
        <w:adjustRightInd/>
        <w:snapToGrid/>
        <w:spacing w:line="400" w:lineRule="exact"/>
        <w:ind w:left="0" w:leftChars="0" w:firstLine="420" w:firstLineChars="200"/>
        <w:jc w:val="both"/>
        <w:textAlignment w:val="auto"/>
        <w:rPr>
          <w:rFonts w:hint="eastAsia" w:ascii="Times New Roman" w:hAnsi="Times New Roman" w:eastAsia="宋体" w:cs="Times New Roman"/>
          <w:color w:val="auto"/>
          <w:szCs w:val="21"/>
          <w:u w:val="single"/>
          <w:lang w:val="en-US" w:eastAsia="zh-CN"/>
        </w:rPr>
      </w:pPr>
      <w:r>
        <w:rPr>
          <w:rFonts w:ascii="宋体" w:hAnsi="宋体"/>
          <w:color w:val="auto"/>
        </w:rPr>
        <w:t>电  话：</w:t>
      </w:r>
      <w:r>
        <w:rPr>
          <w:rFonts w:ascii="宋体" w:hAnsi="宋体"/>
          <w:color w:val="auto"/>
          <w:u w:val="single"/>
        </w:rPr>
        <w:t xml:space="preserve"> </w:t>
      </w:r>
      <w:r>
        <w:rPr>
          <w:rFonts w:hint="eastAsia"/>
          <w:color w:val="auto"/>
          <w:spacing w:val="-4"/>
          <w:u w:val="single"/>
          <w:lang w:val="en-US" w:eastAsia="zh-CN"/>
        </w:rPr>
        <w:t xml:space="preserve"> </w:t>
      </w:r>
      <w:r>
        <w:rPr>
          <w:rFonts w:hint="eastAsia" w:eastAsia="宋体" w:cs="宋体"/>
          <w:color w:val="auto"/>
          <w:spacing w:val="-4"/>
          <w:u w:val="single"/>
          <w:lang w:val="en-US" w:eastAsia="zh-CN"/>
        </w:rPr>
        <w:t xml:space="preserve"> </w:t>
      </w:r>
      <w:r>
        <w:rPr>
          <w:rFonts w:hint="eastAsia" w:ascii="宋体" w:hAnsi="宋体" w:eastAsia="宋体" w:cs="宋体"/>
          <w:color w:val="auto"/>
          <w:kern w:val="21"/>
          <w:szCs w:val="21"/>
          <w:u w:val="single"/>
          <w:lang w:val="en-US" w:eastAsia="zh-CN"/>
        </w:rPr>
        <w:t xml:space="preserve">15858228903 </w:t>
      </w:r>
      <w:r>
        <w:rPr>
          <w:rFonts w:hint="eastAsia"/>
          <w:color w:val="auto"/>
          <w:spacing w:val="-4"/>
          <w:u w:val="single"/>
        </w:rPr>
        <w:t xml:space="preserve">        </w:t>
      </w:r>
      <w:r>
        <w:rPr>
          <w:rFonts w:hint="eastAsia"/>
          <w:color w:val="auto"/>
          <w:spacing w:val="-4"/>
          <w:u w:val="single"/>
          <w:lang w:val="en-US" w:eastAsia="zh-CN"/>
        </w:rPr>
        <w:t xml:space="preserve">      </w:t>
      </w:r>
      <w:r>
        <w:rPr>
          <w:rFonts w:hint="eastAsia"/>
          <w:color w:val="auto"/>
          <w:spacing w:val="-4"/>
          <w:u w:val="single"/>
        </w:rPr>
        <w:t xml:space="preserve">  </w:t>
      </w:r>
      <w:r>
        <w:rPr>
          <w:rFonts w:hint="eastAsia"/>
          <w:color w:val="auto"/>
          <w:spacing w:val="-4"/>
          <w:sz w:val="10"/>
          <w:szCs w:val="10"/>
          <w:u w:val="single"/>
        </w:rPr>
        <w:t xml:space="preserve"> </w:t>
      </w:r>
      <w:r>
        <w:rPr>
          <w:rFonts w:hint="eastAsia"/>
          <w:color w:val="auto"/>
          <w:spacing w:val="-4"/>
          <w:u w:val="single"/>
        </w:rPr>
        <w:t xml:space="preserve"> </w:t>
      </w:r>
      <w:r>
        <w:rPr>
          <w:rFonts w:ascii="宋体" w:hAnsi="宋体"/>
          <w:color w:val="auto"/>
        </w:rPr>
        <w:t xml:space="preserve">电  </w:t>
      </w:r>
      <w:r>
        <w:rPr>
          <w:rFonts w:hint="eastAsia" w:ascii="宋体" w:hAnsi="宋体"/>
          <w:color w:val="auto"/>
          <w:lang w:val="en-US" w:eastAsia="zh-CN"/>
        </w:rPr>
        <w:t xml:space="preserve">  </w:t>
      </w:r>
      <w:r>
        <w:rPr>
          <w:rFonts w:ascii="宋体" w:hAnsi="宋体"/>
          <w:color w:val="auto"/>
        </w:rPr>
        <w:t>话：</w:t>
      </w:r>
      <w:r>
        <w:rPr>
          <w:rFonts w:ascii="宋体" w:hAnsi="宋体"/>
          <w:color w:val="auto"/>
          <w:u w:val="single"/>
        </w:rPr>
        <w:t xml:space="preserve">  </w:t>
      </w:r>
      <w:r>
        <w:rPr>
          <w:rFonts w:hint="eastAsia" w:ascii="宋体" w:hAnsi="宋体"/>
          <w:color w:val="auto"/>
          <w:u w:val="single"/>
          <w:lang w:val="en-US" w:eastAsia="zh-CN"/>
        </w:rPr>
        <w:t xml:space="preserve">0570-6826168 </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p>
    <w:p w14:paraId="522FF7B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 xml:space="preserve"> 9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u w:val="single"/>
          <w:lang w:val="en-US" w:eastAsia="zh-CN"/>
        </w:rPr>
        <w:t xml:space="preserve"> 30 </w:t>
      </w:r>
      <w:r>
        <w:rPr>
          <w:rFonts w:hint="eastAsia" w:ascii="宋体" w:hAnsi="宋体" w:eastAsia="宋体" w:cs="宋体"/>
          <w:color w:val="auto"/>
          <w:sz w:val="21"/>
          <w:szCs w:val="21"/>
          <w:highlight w:val="none"/>
        </w:rPr>
        <w:t>日</w:t>
      </w:r>
    </w:p>
    <w:p w14:paraId="16154098">
      <w:pPr>
        <w:spacing w:line="380" w:lineRule="exact"/>
        <w:jc w:val="center"/>
        <w:rPr>
          <w:rFonts w:ascii="黑体" w:eastAsia="黑体"/>
          <w:sz w:val="32"/>
          <w:szCs w:val="32"/>
          <w:highlight w:val="none"/>
        </w:rPr>
      </w:pPr>
      <w:r>
        <w:rPr>
          <w:rFonts w:ascii="黑体" w:eastAsia="黑体"/>
          <w:sz w:val="32"/>
          <w:szCs w:val="32"/>
          <w:highlight w:val="none"/>
        </w:rPr>
        <w:br w:type="page"/>
      </w:r>
      <w:r>
        <w:rPr>
          <w:rFonts w:hint="eastAsia" w:ascii="黑体" w:eastAsia="黑体"/>
          <w:sz w:val="32"/>
          <w:szCs w:val="32"/>
          <w:highlight w:val="none"/>
        </w:rPr>
        <w:t>第二章  投标人须知</w:t>
      </w:r>
    </w:p>
    <w:p w14:paraId="6DE97C19">
      <w:pPr>
        <w:spacing w:line="100" w:lineRule="exact"/>
        <w:rPr>
          <w:rFonts w:ascii="黑体" w:eastAsia="黑体"/>
          <w:sz w:val="24"/>
          <w:highlight w:val="none"/>
        </w:rPr>
      </w:pPr>
    </w:p>
    <w:p w14:paraId="40D79356">
      <w:pPr>
        <w:keepNext w:val="0"/>
        <w:keepLines w:val="0"/>
        <w:pageBreakBefore w:val="0"/>
        <w:widowControl w:val="0"/>
        <w:kinsoku/>
        <w:wordWrap/>
        <w:overflowPunct/>
        <w:topLinePunct w:val="0"/>
        <w:autoSpaceDE/>
        <w:autoSpaceDN/>
        <w:bidi w:val="0"/>
        <w:adjustRightInd/>
        <w:snapToGrid/>
        <w:spacing w:line="40" w:lineRule="exact"/>
        <w:jc w:val="both"/>
        <w:textAlignment w:val="auto"/>
        <w:rPr>
          <w:rFonts w:hint="eastAsia" w:ascii="黑体" w:eastAsia="黑体"/>
          <w:sz w:val="24"/>
          <w:highlight w:val="none"/>
        </w:rPr>
      </w:pPr>
    </w:p>
    <w:p w14:paraId="108150A9">
      <w:pPr>
        <w:spacing w:line="400" w:lineRule="exact"/>
        <w:jc w:val="center"/>
        <w:rPr>
          <w:rFonts w:ascii="黑体" w:eastAsia="黑体"/>
          <w:sz w:val="24"/>
          <w:highlight w:val="none"/>
        </w:rPr>
      </w:pPr>
      <w:r>
        <w:rPr>
          <w:rFonts w:hint="eastAsia" w:ascii="黑体" w:eastAsia="黑体"/>
          <w:sz w:val="24"/>
          <w:highlight w:val="none"/>
        </w:rPr>
        <w:t>投标人须知前附表</w:t>
      </w:r>
    </w:p>
    <w:tbl>
      <w:tblPr>
        <w:tblStyle w:val="24"/>
        <w:tblW w:w="9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031"/>
        <w:gridCol w:w="2266"/>
        <w:gridCol w:w="6518"/>
      </w:tblGrid>
      <w:tr w14:paraId="6E8B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2" w:hRule="atLeast"/>
          <w:jc w:val="center"/>
        </w:trPr>
        <w:tc>
          <w:tcPr>
            <w:tcW w:w="1031" w:type="dxa"/>
            <w:noWrap w:val="0"/>
            <w:vAlign w:val="center"/>
          </w:tcPr>
          <w:p w14:paraId="19513A32">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b/>
                <w:i w:val="0"/>
                <w:iCs w:val="0"/>
                <w:sz w:val="21"/>
                <w:szCs w:val="21"/>
                <w:highlight w:val="none"/>
              </w:rPr>
            </w:pPr>
            <w:r>
              <w:rPr>
                <w:rFonts w:hint="eastAsia" w:ascii="宋体" w:hAnsi="宋体" w:eastAsia="宋体" w:cs="宋体"/>
                <w:b/>
                <w:i w:val="0"/>
                <w:iCs w:val="0"/>
                <w:sz w:val="21"/>
                <w:szCs w:val="21"/>
                <w:highlight w:val="none"/>
              </w:rPr>
              <w:t>条款号</w:t>
            </w:r>
          </w:p>
        </w:tc>
        <w:tc>
          <w:tcPr>
            <w:tcW w:w="2266" w:type="dxa"/>
            <w:noWrap w:val="0"/>
            <w:vAlign w:val="center"/>
          </w:tcPr>
          <w:p w14:paraId="0AF1B097">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b/>
                <w:i w:val="0"/>
                <w:iCs w:val="0"/>
                <w:sz w:val="21"/>
                <w:szCs w:val="21"/>
                <w:highlight w:val="none"/>
              </w:rPr>
            </w:pPr>
            <w:r>
              <w:rPr>
                <w:rFonts w:hint="eastAsia" w:ascii="宋体" w:hAnsi="宋体" w:eastAsia="宋体" w:cs="宋体"/>
                <w:b/>
                <w:i w:val="0"/>
                <w:iCs w:val="0"/>
                <w:sz w:val="21"/>
                <w:szCs w:val="21"/>
                <w:highlight w:val="none"/>
              </w:rPr>
              <w:t>条  款  名  称</w:t>
            </w:r>
          </w:p>
        </w:tc>
        <w:tc>
          <w:tcPr>
            <w:tcW w:w="6518" w:type="dxa"/>
            <w:noWrap w:val="0"/>
            <w:vAlign w:val="center"/>
          </w:tcPr>
          <w:p w14:paraId="24160D15">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b/>
                <w:i w:val="0"/>
                <w:iCs w:val="0"/>
                <w:sz w:val="21"/>
                <w:szCs w:val="21"/>
                <w:highlight w:val="none"/>
              </w:rPr>
            </w:pPr>
            <w:r>
              <w:rPr>
                <w:rFonts w:hint="eastAsia" w:ascii="宋体" w:hAnsi="宋体" w:eastAsia="宋体" w:cs="宋体"/>
                <w:b/>
                <w:i w:val="0"/>
                <w:iCs w:val="0"/>
                <w:sz w:val="21"/>
                <w:szCs w:val="21"/>
                <w:highlight w:val="none"/>
              </w:rPr>
              <w:t>编  列  内  容</w:t>
            </w:r>
          </w:p>
        </w:tc>
      </w:tr>
      <w:tr w14:paraId="5CD9F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5" w:hRule="atLeast"/>
          <w:jc w:val="center"/>
        </w:trPr>
        <w:tc>
          <w:tcPr>
            <w:tcW w:w="1031" w:type="dxa"/>
            <w:noWrap w:val="0"/>
            <w:vAlign w:val="center"/>
          </w:tcPr>
          <w:p w14:paraId="02DC5A13">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1.1.2</w:t>
            </w:r>
          </w:p>
        </w:tc>
        <w:tc>
          <w:tcPr>
            <w:tcW w:w="2266" w:type="dxa"/>
            <w:noWrap w:val="0"/>
            <w:vAlign w:val="center"/>
          </w:tcPr>
          <w:p w14:paraId="2F46DADF">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招标人</w:t>
            </w:r>
          </w:p>
        </w:tc>
        <w:tc>
          <w:tcPr>
            <w:tcW w:w="6518" w:type="dxa"/>
            <w:tcBorders>
              <w:bottom w:val="single" w:color="auto" w:sz="4" w:space="0"/>
            </w:tcBorders>
            <w:noWrap w:val="0"/>
            <w:vAlign w:val="center"/>
          </w:tcPr>
          <w:p w14:paraId="5BB7530C">
            <w:pPr>
              <w:spacing w:line="320" w:lineRule="exact"/>
              <w:rPr>
                <w:color w:val="auto"/>
                <w:szCs w:val="21"/>
              </w:rPr>
            </w:pPr>
            <w:r>
              <w:rPr>
                <w:rFonts w:hint="eastAsia"/>
                <w:color w:val="auto"/>
                <w:szCs w:val="21"/>
              </w:rPr>
              <w:t>名  称：</w:t>
            </w:r>
            <w:r>
              <w:rPr>
                <w:rFonts w:hint="eastAsia" w:ascii="宋体" w:hAnsi="宋体"/>
                <w:color w:val="auto"/>
                <w:szCs w:val="21"/>
                <w:u w:val="none"/>
              </w:rPr>
              <w:t>开化县城镇有机更新有限公司</w:t>
            </w:r>
          </w:p>
          <w:p w14:paraId="6D424FB9">
            <w:pPr>
              <w:spacing w:line="320" w:lineRule="exact"/>
              <w:rPr>
                <w:color w:val="auto"/>
                <w:szCs w:val="21"/>
              </w:rPr>
            </w:pPr>
            <w:r>
              <w:rPr>
                <w:rFonts w:hint="eastAsia"/>
                <w:color w:val="auto"/>
                <w:szCs w:val="21"/>
              </w:rPr>
              <w:t>地  址：</w:t>
            </w:r>
            <w:r>
              <w:rPr>
                <w:rFonts w:hint="eastAsia"/>
                <w:color w:val="auto"/>
                <w:szCs w:val="21"/>
                <w:u w:val="none"/>
              </w:rPr>
              <w:t>开化县</w:t>
            </w:r>
            <w:r>
              <w:rPr>
                <w:rFonts w:hint="eastAsia"/>
                <w:color w:val="auto"/>
                <w:szCs w:val="21"/>
                <w:u w:val="none"/>
                <w:lang w:eastAsia="zh-CN"/>
              </w:rPr>
              <w:t>华埠镇得阳大厦</w:t>
            </w:r>
            <w:r>
              <w:rPr>
                <w:rFonts w:hint="eastAsia"/>
                <w:color w:val="auto"/>
                <w:szCs w:val="21"/>
                <w:u w:val="none"/>
                <w:lang w:val="en-US" w:eastAsia="zh-CN"/>
              </w:rPr>
              <w:t>A座502室</w:t>
            </w:r>
          </w:p>
          <w:p w14:paraId="7C0E557C">
            <w:pPr>
              <w:spacing w:line="320" w:lineRule="exact"/>
              <w:rPr>
                <w:color w:val="auto"/>
                <w:szCs w:val="21"/>
              </w:rPr>
            </w:pPr>
            <w:r>
              <w:rPr>
                <w:rFonts w:hint="eastAsia"/>
                <w:color w:val="auto"/>
                <w:szCs w:val="21"/>
              </w:rPr>
              <w:t>联系人：</w:t>
            </w:r>
            <w:r>
              <w:rPr>
                <w:rFonts w:hint="eastAsia" w:ascii="宋体" w:hAnsi="宋体" w:cs="宋体"/>
                <w:color w:val="auto"/>
                <w:kern w:val="21"/>
                <w:szCs w:val="21"/>
                <w:u w:val="none"/>
                <w:lang w:eastAsia="zh-CN"/>
              </w:rPr>
              <w:t>詹先生</w:t>
            </w:r>
          </w:p>
          <w:p w14:paraId="4EA840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color w:val="auto"/>
                <w:szCs w:val="21"/>
              </w:rPr>
              <w:t>电  话：</w:t>
            </w:r>
            <w:r>
              <w:rPr>
                <w:rFonts w:hint="eastAsia" w:ascii="宋体" w:hAnsi="宋体" w:cs="宋体"/>
                <w:color w:val="auto"/>
                <w:kern w:val="21"/>
                <w:szCs w:val="21"/>
                <w:u w:val="none"/>
              </w:rPr>
              <w:t xml:space="preserve">15858228903 </w:t>
            </w:r>
          </w:p>
        </w:tc>
      </w:tr>
      <w:tr w14:paraId="0527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3" w:hRule="atLeast"/>
          <w:jc w:val="center"/>
        </w:trPr>
        <w:tc>
          <w:tcPr>
            <w:tcW w:w="1031" w:type="dxa"/>
            <w:noWrap w:val="0"/>
            <w:vAlign w:val="center"/>
          </w:tcPr>
          <w:p w14:paraId="529AE536">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1.1.3</w:t>
            </w:r>
          </w:p>
        </w:tc>
        <w:tc>
          <w:tcPr>
            <w:tcW w:w="2266" w:type="dxa"/>
            <w:tcBorders>
              <w:right w:val="single" w:color="auto" w:sz="4" w:space="0"/>
            </w:tcBorders>
            <w:noWrap w:val="0"/>
            <w:vAlign w:val="center"/>
          </w:tcPr>
          <w:p w14:paraId="05F6D12E">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招标代理机构</w:t>
            </w:r>
          </w:p>
        </w:tc>
        <w:tc>
          <w:tcPr>
            <w:tcW w:w="6518" w:type="dxa"/>
            <w:tcBorders>
              <w:top w:val="single" w:color="auto" w:sz="4" w:space="0"/>
              <w:left w:val="single" w:color="auto" w:sz="4" w:space="0"/>
              <w:bottom w:val="single" w:color="auto" w:sz="4" w:space="0"/>
              <w:right w:val="single" w:color="auto" w:sz="4" w:space="0"/>
            </w:tcBorders>
            <w:noWrap w:val="0"/>
            <w:vAlign w:val="center"/>
          </w:tcPr>
          <w:p w14:paraId="210E2547">
            <w:pPr>
              <w:keepNext w:val="0"/>
              <w:keepLines w:val="0"/>
              <w:pageBreakBefore w:val="0"/>
              <w:wordWrap/>
              <w:overflowPunct/>
              <w:topLinePunct w:val="0"/>
              <w:bidi w:val="0"/>
              <w:adjustRightInd/>
              <w:snapToGrid/>
              <w:spacing w:line="240" w:lineRule="auto"/>
              <w:rPr>
                <w:rFonts w:hint="eastAsia" w:ascii="宋体" w:hAnsi="宋体" w:eastAsia="宋体" w:cs="宋体"/>
                <w:u w:val="none"/>
                <w:lang w:val="en-US" w:eastAsia="zh-CN"/>
              </w:rPr>
            </w:pPr>
            <w:r>
              <w:rPr>
                <w:rFonts w:hint="eastAsia" w:ascii="宋体" w:hAnsi="宋体" w:eastAsia="宋体" w:cs="宋体"/>
                <w:u w:val="none"/>
                <w:lang w:val="en-US" w:eastAsia="zh-CN"/>
              </w:rPr>
              <w:t>名  称：</w:t>
            </w:r>
            <w:r>
              <w:rPr>
                <w:rFonts w:hint="eastAsia" w:ascii="宋体" w:hAnsi="宋体" w:cs="宋体"/>
                <w:color w:val="auto"/>
                <w:kern w:val="21"/>
                <w:szCs w:val="21"/>
                <w:u w:val="none"/>
              </w:rPr>
              <w:t>浙江中际工程项目管理有限公司</w:t>
            </w:r>
          </w:p>
          <w:p w14:paraId="33FFCE6C">
            <w:pPr>
              <w:keepNext w:val="0"/>
              <w:keepLines w:val="0"/>
              <w:pageBreakBefore w:val="0"/>
              <w:wordWrap/>
              <w:overflowPunct/>
              <w:topLinePunct w:val="0"/>
              <w:bidi w:val="0"/>
              <w:adjustRightInd/>
              <w:snapToGrid/>
              <w:spacing w:line="240" w:lineRule="auto"/>
              <w:rPr>
                <w:rFonts w:hint="eastAsia" w:ascii="宋体" w:hAnsi="宋体" w:eastAsia="宋体" w:cs="宋体"/>
                <w:u w:val="none"/>
                <w:lang w:val="en-US" w:eastAsia="zh-CN"/>
              </w:rPr>
            </w:pPr>
            <w:r>
              <w:rPr>
                <w:rFonts w:hint="eastAsia" w:ascii="宋体" w:hAnsi="宋体" w:eastAsia="宋体" w:cs="宋体"/>
                <w:u w:val="none"/>
                <w:lang w:val="en-US" w:eastAsia="zh-CN"/>
              </w:rPr>
              <w:t>地  址：</w:t>
            </w:r>
            <w:r>
              <w:rPr>
                <w:rFonts w:hint="eastAsia" w:ascii="宋体" w:hAnsi="宋体"/>
                <w:color w:val="auto"/>
                <w:szCs w:val="21"/>
                <w:u w:val="none"/>
              </w:rPr>
              <w:t>开化县江宁路58号</w:t>
            </w:r>
          </w:p>
          <w:p w14:paraId="3F02337C">
            <w:pPr>
              <w:keepNext w:val="0"/>
              <w:keepLines w:val="0"/>
              <w:pageBreakBefore w:val="0"/>
              <w:wordWrap/>
              <w:overflowPunct/>
              <w:topLinePunct w:val="0"/>
              <w:bidi w:val="0"/>
              <w:adjustRightInd/>
              <w:snapToGrid/>
              <w:spacing w:line="240" w:lineRule="auto"/>
              <w:rPr>
                <w:rFonts w:hint="eastAsia" w:ascii="宋体" w:hAnsi="宋体" w:eastAsia="宋体" w:cs="宋体"/>
                <w:u w:val="none"/>
                <w:lang w:val="en-US" w:eastAsia="zh-CN"/>
              </w:rPr>
            </w:pPr>
            <w:r>
              <w:rPr>
                <w:rFonts w:hint="eastAsia" w:ascii="宋体" w:hAnsi="宋体" w:eastAsia="宋体" w:cs="宋体"/>
                <w:u w:val="none"/>
                <w:lang w:val="en-US" w:eastAsia="zh-CN"/>
              </w:rPr>
              <w:t>联系人：</w:t>
            </w:r>
            <w:r>
              <w:rPr>
                <w:rFonts w:hint="eastAsia" w:ascii="宋体" w:hAnsi="宋体" w:cs="宋体"/>
                <w:color w:val="auto"/>
                <w:kern w:val="21"/>
                <w:szCs w:val="21"/>
                <w:u w:val="none"/>
                <w:lang w:eastAsia="zh-CN"/>
              </w:rPr>
              <w:t>徐</w:t>
            </w:r>
            <w:r>
              <w:rPr>
                <w:rFonts w:hint="eastAsia" w:ascii="宋体" w:hAnsi="宋体" w:cs="宋体"/>
                <w:color w:val="auto"/>
                <w:kern w:val="21"/>
                <w:szCs w:val="21"/>
                <w:u w:val="none"/>
              </w:rPr>
              <w:t>女士</w:t>
            </w:r>
            <w:r>
              <w:rPr>
                <w:rFonts w:hint="eastAsia" w:ascii="宋体" w:hAnsi="宋体" w:eastAsia="宋体" w:cs="宋体"/>
                <w:u w:val="none"/>
                <w:lang w:val="en-US" w:eastAsia="zh-CN"/>
              </w:rPr>
              <w:t xml:space="preserve"> </w:t>
            </w:r>
          </w:p>
          <w:p w14:paraId="0DE62A55">
            <w:pPr>
              <w:keepNext w:val="0"/>
              <w:keepLines w:val="0"/>
              <w:pageBreakBefore w:val="0"/>
              <w:kinsoku/>
              <w:wordWrap/>
              <w:overflowPunct/>
              <w:topLinePunct w:val="0"/>
              <w:bidi w:val="0"/>
              <w:adjustRightInd/>
              <w:snapToGrid/>
              <w:spacing w:line="240" w:lineRule="auto"/>
              <w:rPr>
                <w:rFonts w:hint="eastAsia" w:ascii="宋体" w:hAnsi="宋体" w:eastAsia="宋体" w:cs="宋体"/>
                <w:lang w:val="en-US" w:eastAsia="zh-CN"/>
              </w:rPr>
            </w:pPr>
            <w:r>
              <w:rPr>
                <w:rFonts w:hint="eastAsia" w:ascii="宋体" w:hAnsi="宋体" w:eastAsia="宋体" w:cs="宋体"/>
                <w:u w:val="none"/>
                <w:lang w:val="en-US" w:eastAsia="zh-CN"/>
              </w:rPr>
              <w:t>电  话：</w:t>
            </w:r>
            <w:r>
              <w:rPr>
                <w:rFonts w:hint="eastAsia" w:ascii="宋体" w:hAnsi="宋体" w:cs="宋体"/>
                <w:color w:val="auto"/>
                <w:kern w:val="21"/>
                <w:szCs w:val="21"/>
                <w:u w:val="none"/>
              </w:rPr>
              <w:t>0570-6826168</w:t>
            </w:r>
            <w:r>
              <w:rPr>
                <w:rFonts w:hint="eastAsia" w:ascii="宋体" w:hAnsi="宋体" w:eastAsia="宋体" w:cs="宋体"/>
                <w:u w:val="none"/>
                <w:lang w:val="en-US" w:eastAsia="zh-CN"/>
              </w:rPr>
              <w:t xml:space="preserve"> </w:t>
            </w:r>
          </w:p>
        </w:tc>
      </w:tr>
      <w:tr w14:paraId="2FF2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63" w:hRule="atLeast"/>
          <w:jc w:val="center"/>
        </w:trPr>
        <w:tc>
          <w:tcPr>
            <w:tcW w:w="1031" w:type="dxa"/>
            <w:noWrap w:val="0"/>
            <w:vAlign w:val="center"/>
          </w:tcPr>
          <w:p w14:paraId="04443E71">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1.1.4</w:t>
            </w:r>
          </w:p>
        </w:tc>
        <w:tc>
          <w:tcPr>
            <w:tcW w:w="2266" w:type="dxa"/>
            <w:noWrap w:val="0"/>
            <w:vAlign w:val="center"/>
          </w:tcPr>
          <w:p w14:paraId="3F94554D">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工程</w:t>
            </w:r>
            <w:r>
              <w:rPr>
                <w:rFonts w:hint="eastAsia" w:ascii="宋体" w:hAnsi="宋体" w:eastAsia="宋体" w:cs="宋体"/>
                <w:i w:val="0"/>
                <w:iCs w:val="0"/>
                <w:color w:val="auto"/>
                <w:sz w:val="21"/>
                <w:szCs w:val="21"/>
                <w:highlight w:val="none"/>
              </w:rPr>
              <w:t>名称</w:t>
            </w:r>
          </w:p>
        </w:tc>
        <w:tc>
          <w:tcPr>
            <w:tcW w:w="6518" w:type="dxa"/>
            <w:tcBorders>
              <w:top w:val="single" w:color="auto" w:sz="4" w:space="0"/>
            </w:tcBorders>
            <w:noWrap w:val="0"/>
            <w:vAlign w:val="center"/>
          </w:tcPr>
          <w:p w14:paraId="78C8FF66">
            <w:pPr>
              <w:keepNext w:val="0"/>
              <w:keepLines w:val="0"/>
              <w:pageBreakBefore w:val="0"/>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cs="宋体"/>
                <w:color w:val="auto"/>
                <w:kern w:val="21"/>
                <w:szCs w:val="21"/>
                <w:u w:val="none"/>
                <w:lang w:eastAsia="zh-CN"/>
              </w:rPr>
              <w:t>开化县城市有机更新共同富裕建设项目安置地（一）基础及室外附属设施配套工程—高压配电工程总承包（EPC）</w:t>
            </w:r>
          </w:p>
        </w:tc>
      </w:tr>
      <w:tr w14:paraId="2AC2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2" w:hRule="atLeast"/>
          <w:jc w:val="center"/>
        </w:trPr>
        <w:tc>
          <w:tcPr>
            <w:tcW w:w="1031" w:type="dxa"/>
            <w:noWrap w:val="0"/>
            <w:vAlign w:val="center"/>
          </w:tcPr>
          <w:p w14:paraId="47F7FF67">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1.1.5</w:t>
            </w:r>
          </w:p>
        </w:tc>
        <w:tc>
          <w:tcPr>
            <w:tcW w:w="2266" w:type="dxa"/>
            <w:noWrap w:val="0"/>
            <w:vAlign w:val="center"/>
          </w:tcPr>
          <w:p w14:paraId="525E77F1">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建设地点</w:t>
            </w:r>
          </w:p>
        </w:tc>
        <w:tc>
          <w:tcPr>
            <w:tcW w:w="6518" w:type="dxa"/>
            <w:noWrap w:val="0"/>
            <w:vAlign w:val="center"/>
          </w:tcPr>
          <w:p w14:paraId="0DDDFB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Autospacing="0" w:line="240" w:lineRule="auto"/>
              <w:ind w:right="0"/>
              <w:jc w:val="left"/>
              <w:rPr>
                <w:rFonts w:hint="eastAsia" w:ascii="宋体" w:hAnsi="宋体" w:eastAsia="宋体" w:cs="宋体"/>
                <w:i w:val="0"/>
                <w:iCs w:val="0"/>
                <w:color w:val="auto"/>
                <w:sz w:val="21"/>
                <w:szCs w:val="21"/>
                <w:highlight w:val="none"/>
                <w:lang w:eastAsia="zh-CN"/>
              </w:rPr>
            </w:pPr>
            <w:r>
              <w:rPr>
                <w:rFonts w:hint="eastAsia" w:ascii="宋体" w:hAnsi="宋体" w:cs="宋体"/>
                <w:color w:val="auto"/>
                <w:kern w:val="21"/>
                <w:szCs w:val="21"/>
                <w:highlight w:val="none"/>
                <w:u w:val="none"/>
              </w:rPr>
              <w:t>开化县</w:t>
            </w:r>
            <w:r>
              <w:rPr>
                <w:rFonts w:hint="eastAsia" w:ascii="宋体" w:hAnsi="宋体" w:cs="宋体"/>
                <w:color w:val="auto"/>
                <w:kern w:val="21"/>
                <w:szCs w:val="21"/>
                <w:highlight w:val="none"/>
                <w:u w:val="none"/>
                <w:lang w:eastAsia="zh-CN"/>
              </w:rPr>
              <w:t>华埠镇</w:t>
            </w:r>
          </w:p>
        </w:tc>
      </w:tr>
      <w:tr w14:paraId="4C7B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63" w:hRule="atLeast"/>
          <w:jc w:val="center"/>
        </w:trPr>
        <w:tc>
          <w:tcPr>
            <w:tcW w:w="1031" w:type="dxa"/>
            <w:noWrap w:val="0"/>
            <w:vAlign w:val="center"/>
          </w:tcPr>
          <w:p w14:paraId="05A7E3CC">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1.2.1</w:t>
            </w:r>
          </w:p>
        </w:tc>
        <w:tc>
          <w:tcPr>
            <w:tcW w:w="2266" w:type="dxa"/>
            <w:noWrap w:val="0"/>
            <w:vAlign w:val="center"/>
          </w:tcPr>
          <w:p w14:paraId="67579744">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资金来源及比例</w:t>
            </w:r>
          </w:p>
        </w:tc>
        <w:tc>
          <w:tcPr>
            <w:tcW w:w="6518" w:type="dxa"/>
            <w:noWrap w:val="0"/>
            <w:vAlign w:val="center"/>
          </w:tcPr>
          <w:p w14:paraId="5B96D22C">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lang w:val="en-US" w:eastAsia="zh-CN"/>
              </w:rPr>
            </w:pPr>
            <w:r>
              <w:rPr>
                <w:rFonts w:hint="eastAsia" w:ascii="宋体" w:hAnsi="宋体" w:cs="宋体"/>
                <w:color w:val="auto"/>
                <w:sz w:val="21"/>
                <w:szCs w:val="21"/>
                <w:highlight w:val="none"/>
                <w:u w:val="none"/>
                <w:lang w:val="en-US" w:eastAsia="zh-CN"/>
              </w:rPr>
              <w:t>自筹</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snapToGrid w:val="0"/>
                <w:color w:val="auto"/>
                <w:spacing w:val="-2"/>
                <w:kern w:val="0"/>
                <w:sz w:val="21"/>
                <w:szCs w:val="21"/>
                <w:highlight w:val="none"/>
                <w:u w:val="none"/>
                <w:lang w:val="en-US" w:eastAsia="zh-CN" w:bidi="ar-SA"/>
              </w:rPr>
              <w:t>出资比例为100%。</w:t>
            </w:r>
          </w:p>
        </w:tc>
      </w:tr>
      <w:tr w14:paraId="38D62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63" w:hRule="atLeast"/>
          <w:jc w:val="center"/>
        </w:trPr>
        <w:tc>
          <w:tcPr>
            <w:tcW w:w="1031" w:type="dxa"/>
            <w:noWrap w:val="0"/>
            <w:vAlign w:val="center"/>
          </w:tcPr>
          <w:p w14:paraId="63895904">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1.2.2</w:t>
            </w:r>
          </w:p>
        </w:tc>
        <w:tc>
          <w:tcPr>
            <w:tcW w:w="2266" w:type="dxa"/>
            <w:noWrap w:val="0"/>
            <w:vAlign w:val="center"/>
          </w:tcPr>
          <w:p w14:paraId="0E2A9425">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资金落实情况</w:t>
            </w:r>
          </w:p>
        </w:tc>
        <w:tc>
          <w:tcPr>
            <w:tcW w:w="6518" w:type="dxa"/>
            <w:noWrap w:val="0"/>
            <w:vAlign w:val="center"/>
          </w:tcPr>
          <w:p w14:paraId="17C0EA98">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已落实</w:t>
            </w:r>
          </w:p>
        </w:tc>
      </w:tr>
      <w:tr w14:paraId="30B6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40" w:hRule="atLeast"/>
          <w:jc w:val="center"/>
        </w:trPr>
        <w:tc>
          <w:tcPr>
            <w:tcW w:w="1031" w:type="dxa"/>
            <w:noWrap w:val="0"/>
            <w:vAlign w:val="center"/>
          </w:tcPr>
          <w:p w14:paraId="0B088E17">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1.3.1</w:t>
            </w:r>
          </w:p>
        </w:tc>
        <w:tc>
          <w:tcPr>
            <w:tcW w:w="2266" w:type="dxa"/>
            <w:noWrap w:val="0"/>
            <w:vAlign w:val="center"/>
          </w:tcPr>
          <w:p w14:paraId="613A2853">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lang w:bidi="ar"/>
              </w:rPr>
            </w:pPr>
            <w:r>
              <w:rPr>
                <w:rFonts w:hint="eastAsia" w:ascii="宋体" w:hAnsi="宋体" w:eastAsia="宋体" w:cs="宋体"/>
                <w:i w:val="0"/>
                <w:iCs w:val="0"/>
                <w:color w:val="000000"/>
                <w:sz w:val="21"/>
                <w:szCs w:val="21"/>
                <w:highlight w:val="none"/>
                <w:lang w:bidi="ar"/>
              </w:rPr>
              <w:t>招标范围</w:t>
            </w:r>
          </w:p>
        </w:tc>
        <w:tc>
          <w:tcPr>
            <w:tcW w:w="6518" w:type="dxa"/>
            <w:noWrap w:val="0"/>
            <w:vAlign w:val="center"/>
          </w:tcPr>
          <w:p w14:paraId="7C31CE49">
            <w:pPr>
              <w:keepNext w:val="0"/>
              <w:keepLines w:val="0"/>
              <w:pageBreakBefore w:val="0"/>
              <w:kinsoku/>
              <w:wordWrap/>
              <w:overflowPunct/>
              <w:topLinePunct w:val="0"/>
              <w:autoSpaceDE w:val="0"/>
              <w:autoSpaceDN w:val="0"/>
              <w:bidi w:val="0"/>
              <w:adjustRightInd/>
              <w:snapToGrid/>
              <w:spacing w:line="24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以EPC总承包方式建设</w:t>
            </w:r>
            <w:r>
              <w:rPr>
                <w:rFonts w:hint="eastAsia" w:ascii="宋体" w:hAnsi="宋体" w:cs="宋体"/>
                <w:color w:val="auto"/>
                <w:kern w:val="21"/>
                <w:szCs w:val="21"/>
                <w:u w:val="none"/>
                <w:lang w:eastAsia="zh-CN"/>
              </w:rPr>
              <w:t>开化县城市有机更新共同富裕建设项目安置地（一）基础及室外附属设施配套工程—高压配电工程</w:t>
            </w:r>
            <w:r>
              <w:rPr>
                <w:rFonts w:hint="eastAsia" w:ascii="宋体" w:hAnsi="宋体" w:eastAsia="宋体" w:cs="宋体"/>
                <w:color w:val="auto"/>
                <w:sz w:val="21"/>
                <w:szCs w:val="21"/>
                <w:highlight w:val="none"/>
              </w:rPr>
              <w:t>，包括施工图设计、施工，竣工验收工程缺陷责任期内的缺陷修复，保修期服务等。主要包括以下内容</w:t>
            </w:r>
            <w:r>
              <w:rPr>
                <w:rFonts w:hint="eastAsia" w:ascii="宋体" w:hAnsi="宋体" w:eastAsia="宋体" w:cs="宋体"/>
                <w:color w:val="auto"/>
                <w:sz w:val="21"/>
                <w:szCs w:val="21"/>
                <w:highlight w:val="none"/>
                <w:lang w:eastAsia="zh-CN"/>
              </w:rPr>
              <w:t>：</w:t>
            </w:r>
          </w:p>
          <w:p w14:paraId="7F4AED21">
            <w:pPr>
              <w:keepNext w:val="0"/>
              <w:keepLines w:val="0"/>
              <w:pageBreakBefore w:val="0"/>
              <w:kinsoku/>
              <w:wordWrap/>
              <w:overflowPunct/>
              <w:topLinePunct w:val="0"/>
              <w:autoSpaceDE w:val="0"/>
              <w:autoSpaceDN w:val="0"/>
              <w:bidi w:val="0"/>
              <w:adjustRightInd/>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设计：包括根据招标人要求，完成本项目所有专业施工图设计、配合施工图图审、设计文件报审报批及施工阶段服务等内容，以及各阶段、各部门审批提出的设计文件的修改和施工过程中招标人提出的变更设计等内容。</w:t>
            </w:r>
          </w:p>
          <w:p w14:paraId="7E0FCBEA">
            <w:pPr>
              <w:keepNext w:val="0"/>
              <w:keepLines w:val="0"/>
              <w:pageBreakBefore w:val="0"/>
              <w:kinsoku/>
              <w:wordWrap/>
              <w:overflowPunct/>
              <w:topLinePunct w:val="0"/>
              <w:autoSpaceDE w:val="0"/>
              <w:autoSpaceDN w:val="0"/>
              <w:bidi w:val="0"/>
              <w:adjustRightInd/>
              <w:snapToGrid/>
              <w:spacing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②采购：包括本项目所涉及的设施设备材料采购、运输、保管、安装及调试（试运行）、移交以及质保期内的保修服务等。</w:t>
            </w:r>
          </w:p>
          <w:p w14:paraId="4AE16329">
            <w:pPr>
              <w:keepNext w:val="0"/>
              <w:keepLines w:val="0"/>
              <w:pageBreakBefore w:val="0"/>
              <w:kinsoku/>
              <w:wordWrap/>
              <w:overflowPunct/>
              <w:topLinePunct w:val="0"/>
              <w:autoSpaceDE w:val="0"/>
              <w:autoSpaceDN w:val="0"/>
              <w:bidi w:val="0"/>
              <w:adjustRightInd/>
              <w:snapToGrid/>
              <w:spacing w:line="24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③施工：</w:t>
            </w:r>
            <w:r>
              <w:rPr>
                <w:rFonts w:hint="eastAsia" w:ascii="宋体" w:hAnsi="宋体" w:eastAsia="宋体" w:cs="宋体"/>
                <w:color w:val="auto"/>
                <w:sz w:val="21"/>
                <w:szCs w:val="21"/>
                <w:highlight w:val="none"/>
                <w:lang w:eastAsia="zh-CN"/>
              </w:rPr>
              <w:t>主要</w:t>
            </w:r>
            <w:r>
              <w:rPr>
                <w:rFonts w:hint="eastAsia" w:ascii="宋体" w:hAnsi="宋体" w:eastAsia="宋体" w:cs="宋体"/>
                <w:color w:val="auto"/>
                <w:sz w:val="21"/>
                <w:szCs w:val="21"/>
                <w:highlight w:val="none"/>
              </w:rPr>
              <w:t>建设内容包括安装配电箱、电缆、电力管网及供配电线路设备等电力所属工程施工内容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（具体详见招标人提供的图纸、工程量清单）</w:t>
            </w:r>
          </w:p>
          <w:p w14:paraId="2ABA127F">
            <w:pPr>
              <w:keepNext w:val="0"/>
              <w:keepLines w:val="0"/>
              <w:pageBreakBefore w:val="0"/>
              <w:kinsoku/>
              <w:wordWrap/>
              <w:overflowPunct/>
              <w:topLinePunct w:val="0"/>
              <w:autoSpaceDE w:val="0"/>
              <w:autoSpaceDN w:val="0"/>
              <w:bidi w:val="0"/>
              <w:adjustRightInd/>
              <w:snapToGrid/>
              <w:spacing w:line="240" w:lineRule="auto"/>
              <w:ind w:firstLine="420" w:firstLineChars="200"/>
              <w:textAlignment w:val="auto"/>
              <w:rPr>
                <w:rFonts w:hint="eastAsia" w:ascii="宋体" w:hAnsi="宋体" w:eastAsia="宋体" w:cs="宋体"/>
                <w:i w:val="0"/>
                <w:iCs w:val="0"/>
                <w:color w:val="000000"/>
                <w:sz w:val="21"/>
                <w:szCs w:val="21"/>
                <w:highlight w:val="yellow"/>
                <w:lang w:val="en-US" w:eastAsia="zh-CN" w:bidi="ar"/>
              </w:rPr>
            </w:pPr>
            <w:r>
              <w:rPr>
                <w:rFonts w:hint="eastAsia" w:ascii="宋体" w:hAnsi="宋体" w:eastAsia="宋体" w:cs="宋体"/>
                <w:color w:val="auto"/>
                <w:sz w:val="21"/>
                <w:szCs w:val="21"/>
                <w:highlight w:val="none"/>
                <w:lang w:val="zh-CN"/>
              </w:rPr>
              <w:t>④总承包管理和服务内容：包括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p>
        </w:tc>
      </w:tr>
      <w:tr w14:paraId="653A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1" w:hRule="atLeast"/>
          <w:jc w:val="center"/>
        </w:trPr>
        <w:tc>
          <w:tcPr>
            <w:tcW w:w="1031" w:type="dxa"/>
            <w:noWrap w:val="0"/>
            <w:vAlign w:val="center"/>
          </w:tcPr>
          <w:p w14:paraId="50E45345">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1.3.2</w:t>
            </w:r>
          </w:p>
        </w:tc>
        <w:tc>
          <w:tcPr>
            <w:tcW w:w="2266" w:type="dxa"/>
            <w:noWrap w:val="0"/>
            <w:vAlign w:val="center"/>
          </w:tcPr>
          <w:p w14:paraId="4555AF30">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sz w:val="21"/>
                <w:szCs w:val="21"/>
                <w:highlight w:val="none"/>
              </w:rPr>
              <w:t>工期</w:t>
            </w:r>
            <w:r>
              <w:rPr>
                <w:rFonts w:hint="eastAsia" w:ascii="宋体" w:hAnsi="宋体" w:eastAsia="宋体" w:cs="宋体"/>
                <w:i w:val="0"/>
                <w:iCs w:val="0"/>
                <w:color w:val="000000"/>
                <w:sz w:val="21"/>
                <w:szCs w:val="21"/>
                <w:highlight w:val="none"/>
                <w:lang w:eastAsia="zh-CN"/>
              </w:rPr>
              <w:t>要求</w:t>
            </w:r>
          </w:p>
        </w:tc>
        <w:tc>
          <w:tcPr>
            <w:tcW w:w="6518" w:type="dxa"/>
            <w:noWrap w:val="0"/>
            <w:vAlign w:val="center"/>
          </w:tcPr>
          <w:p w14:paraId="01E7C58F">
            <w:pPr>
              <w:keepNext w:val="0"/>
              <w:keepLines w:val="0"/>
              <w:pageBreakBefore w:val="0"/>
              <w:kinsoku/>
              <w:overflowPunct/>
              <w:bidi w:val="0"/>
              <w:spacing w:line="400" w:lineRule="exact"/>
              <w:rPr>
                <w:rFonts w:hint="eastAsia" w:ascii="宋体" w:hAnsi="宋体" w:eastAsia="宋体" w:cs="宋体"/>
                <w:i w:val="0"/>
                <w:iCs w:val="0"/>
                <w:color w:val="C00000"/>
                <w:sz w:val="21"/>
                <w:szCs w:val="21"/>
                <w:highlight w:val="none"/>
                <w:u w:val="single"/>
              </w:rPr>
            </w:pPr>
            <w:r>
              <w:rPr>
                <w:rFonts w:hint="eastAsia" w:ascii="宋体" w:hAnsi="宋体" w:eastAsia="宋体" w:cs="宋体"/>
                <w:i w:val="0"/>
                <w:iCs w:val="0"/>
                <w:color w:val="auto"/>
                <w:sz w:val="21"/>
                <w:szCs w:val="21"/>
                <w:highlight w:val="none"/>
              </w:rPr>
              <w:t>计划工期</w:t>
            </w:r>
            <w:r>
              <w:rPr>
                <w:rFonts w:hint="eastAsia" w:ascii="宋体" w:hAnsi="宋体" w:cs="宋体"/>
                <w:i w:val="0"/>
                <w:iCs w:val="0"/>
                <w:color w:val="auto"/>
                <w:sz w:val="21"/>
                <w:szCs w:val="21"/>
                <w:highlight w:val="none"/>
                <w:lang w:eastAsia="zh-CN"/>
              </w:rPr>
              <w:t>：</w:t>
            </w:r>
            <w:r>
              <w:rPr>
                <w:rFonts w:hint="eastAsia" w:ascii="宋体" w:hAnsi="宋体" w:cs="宋体"/>
                <w:i/>
                <w:iCs/>
                <w:color w:val="auto"/>
                <w:spacing w:val="-5"/>
                <w:sz w:val="21"/>
                <w:szCs w:val="21"/>
                <w:highlight w:val="none"/>
                <w:u w:val="single"/>
                <w:lang w:val="en-US" w:eastAsia="zh-CN"/>
              </w:rPr>
              <w:t xml:space="preserve">  60 </w:t>
            </w:r>
            <w:r>
              <w:rPr>
                <w:rFonts w:hint="eastAsia" w:ascii="宋体" w:hAnsi="宋体" w:eastAsia="宋体" w:cs="宋体"/>
                <w:color w:val="auto"/>
                <w:spacing w:val="-5"/>
                <w:sz w:val="21"/>
                <w:szCs w:val="21"/>
                <w:highlight w:val="none"/>
                <w:u w:val="none"/>
              </w:rPr>
              <w:t>日历天</w:t>
            </w:r>
            <w:r>
              <w:rPr>
                <w:rFonts w:hint="eastAsia" w:ascii="宋体" w:hAnsi="宋体"/>
                <w:b w:val="0"/>
                <w:bCs w:val="0"/>
                <w:color w:val="auto"/>
                <w:szCs w:val="21"/>
                <w:highlight w:val="none"/>
                <w:lang w:eastAsia="zh-CN"/>
              </w:rPr>
              <w:t>。</w:t>
            </w:r>
          </w:p>
          <w:p w14:paraId="08CF50E8">
            <w:pPr>
              <w:pStyle w:val="43"/>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计划开始工作日期：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 </w:t>
            </w:r>
          </w:p>
          <w:p w14:paraId="5A13060A">
            <w:pPr>
              <w:pStyle w:val="43"/>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计划开始现场施工日期：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p>
          <w:p w14:paraId="49DF8C65">
            <w:pPr>
              <w:pStyle w:val="43"/>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计划竣工日期：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w:t>
            </w:r>
          </w:p>
          <w:p w14:paraId="025C9124">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i w:val="0"/>
                <w:iCs w:val="0"/>
                <w:color w:val="000000"/>
                <w:spacing w:val="-4"/>
                <w:sz w:val="21"/>
                <w:szCs w:val="21"/>
                <w:highlight w:val="none"/>
                <w:u w:val="singl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其他：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388A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7" w:hRule="atLeast"/>
          <w:jc w:val="center"/>
        </w:trPr>
        <w:tc>
          <w:tcPr>
            <w:tcW w:w="1031" w:type="dxa"/>
            <w:noWrap w:val="0"/>
            <w:vAlign w:val="center"/>
          </w:tcPr>
          <w:p w14:paraId="772B64DE">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1.3.3</w:t>
            </w:r>
          </w:p>
        </w:tc>
        <w:tc>
          <w:tcPr>
            <w:tcW w:w="2266" w:type="dxa"/>
            <w:noWrap w:val="0"/>
            <w:vAlign w:val="center"/>
          </w:tcPr>
          <w:p w14:paraId="57A7DDE8">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质量要求</w:t>
            </w:r>
          </w:p>
        </w:tc>
        <w:tc>
          <w:tcPr>
            <w:tcW w:w="6518" w:type="dxa"/>
            <w:noWrap w:val="0"/>
            <w:vAlign w:val="center"/>
          </w:tcPr>
          <w:p w14:paraId="6DB7C2DE">
            <w:pPr>
              <w:keepNext w:val="0"/>
              <w:keepLines w:val="0"/>
              <w:pageBreakBefore w:val="0"/>
              <w:kinsoku/>
              <w:overflowPunct/>
              <w:bidi w:val="0"/>
              <w:spacing w:line="240" w:lineRule="auto"/>
              <w:rPr>
                <w:rFonts w:hint="eastAsia" w:ascii="Times New Roman" w:hAnsi="宋体" w:eastAsia="宋体" w:cs="Times New Roman"/>
                <w:b w:val="0"/>
                <w:color w:val="auto"/>
                <w:szCs w:val="24"/>
                <w:highlight w:val="none"/>
                <w:u w:val="none"/>
                <w:lang w:val="en-US" w:eastAsia="zh-CN"/>
              </w:rPr>
            </w:pPr>
            <w:r>
              <w:rPr>
                <w:rFonts w:hint="eastAsia" w:hAnsi="宋体" w:cs="Times New Roman"/>
                <w:b w:val="0"/>
                <w:color w:val="auto"/>
                <w:szCs w:val="24"/>
                <w:highlight w:val="none"/>
                <w:u w:val="none"/>
                <w:lang w:val="en-US" w:eastAsia="zh-CN"/>
              </w:rPr>
              <w:t>1、</w:t>
            </w:r>
            <w:r>
              <w:rPr>
                <w:rFonts w:hint="eastAsia" w:ascii="Times New Roman" w:hAnsi="宋体" w:eastAsia="宋体" w:cs="Times New Roman"/>
                <w:b w:val="0"/>
                <w:color w:val="auto"/>
                <w:szCs w:val="24"/>
                <w:highlight w:val="none"/>
                <w:u w:val="none"/>
                <w:lang w:val="en-US" w:eastAsia="zh-CN"/>
              </w:rPr>
              <w:t>设计质量标准：满足国家、行业及地方现行技术标准、设计规范及设计图纸的要求（满足合同签订时最新设计标准）。</w:t>
            </w:r>
          </w:p>
          <w:p w14:paraId="7FE4B407">
            <w:pPr>
              <w:keepNext w:val="0"/>
              <w:keepLines w:val="0"/>
              <w:pageBreakBefore w:val="0"/>
              <w:kinsoku/>
              <w:overflowPunct/>
              <w:bidi w:val="0"/>
              <w:spacing w:line="240" w:lineRule="auto"/>
              <w:rPr>
                <w:rFonts w:hint="eastAsia" w:ascii="Times New Roman" w:hAnsi="宋体" w:eastAsia="宋体" w:cs="Times New Roman"/>
                <w:b w:val="0"/>
                <w:color w:val="auto"/>
                <w:szCs w:val="24"/>
                <w:highlight w:val="none"/>
                <w:u w:val="none"/>
                <w:lang w:val="en-US" w:eastAsia="zh-CN"/>
              </w:rPr>
            </w:pPr>
            <w:r>
              <w:rPr>
                <w:rFonts w:hint="eastAsia" w:hAnsi="宋体" w:cs="Times New Roman"/>
                <w:b w:val="0"/>
                <w:color w:val="auto"/>
                <w:szCs w:val="24"/>
                <w:highlight w:val="none"/>
                <w:u w:val="none"/>
                <w:lang w:val="en-US" w:eastAsia="zh-CN"/>
              </w:rPr>
              <w:t>2、</w:t>
            </w:r>
            <w:r>
              <w:rPr>
                <w:rFonts w:hint="eastAsia" w:ascii="Times New Roman" w:hAnsi="宋体" w:eastAsia="宋体" w:cs="Times New Roman"/>
                <w:b w:val="0"/>
                <w:color w:val="auto"/>
                <w:szCs w:val="24"/>
                <w:highlight w:val="none"/>
                <w:u w:val="none"/>
                <w:lang w:val="en-US" w:eastAsia="zh-CN"/>
              </w:rPr>
              <w:t>工程所有物资（设备） 采购质量标准：符合招标文件、设计图纸及有关标准、规范的要求。</w:t>
            </w:r>
          </w:p>
          <w:p w14:paraId="7C102DC4">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hAnsi="宋体" w:cs="Times New Roman"/>
                <w:b w:val="0"/>
                <w:color w:val="auto"/>
                <w:szCs w:val="24"/>
                <w:highlight w:val="none"/>
                <w:u w:val="none"/>
                <w:lang w:val="en-US" w:eastAsia="zh-CN"/>
              </w:rPr>
              <w:t>3、</w:t>
            </w:r>
            <w:r>
              <w:rPr>
                <w:rFonts w:hint="eastAsia" w:ascii="Times New Roman" w:hAnsi="宋体" w:eastAsia="宋体" w:cs="Times New Roman"/>
                <w:b w:val="0"/>
                <w:color w:val="auto"/>
                <w:szCs w:val="24"/>
                <w:highlight w:val="none"/>
                <w:u w:val="none"/>
                <w:lang w:val="en-US" w:eastAsia="zh-CN"/>
              </w:rPr>
              <w:t>施工质量标准：符合国家、行业及地方现行建设工程施工质量验收规范和标准及施工图纸要求，一次性验收合格。</w:t>
            </w:r>
          </w:p>
        </w:tc>
      </w:tr>
      <w:tr w14:paraId="15AF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8" w:hRule="atLeast"/>
          <w:jc w:val="center"/>
        </w:trPr>
        <w:tc>
          <w:tcPr>
            <w:tcW w:w="1031" w:type="dxa"/>
            <w:noWrap w:val="0"/>
            <w:vAlign w:val="center"/>
          </w:tcPr>
          <w:p w14:paraId="4C12D325">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1.4.1</w:t>
            </w:r>
          </w:p>
        </w:tc>
        <w:tc>
          <w:tcPr>
            <w:tcW w:w="2266" w:type="dxa"/>
            <w:noWrap w:val="0"/>
            <w:vAlign w:val="center"/>
          </w:tcPr>
          <w:p w14:paraId="09704537">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sz w:val="21"/>
                <w:szCs w:val="21"/>
                <w:highlight w:val="none"/>
              </w:rPr>
              <w:t>投标人资质</w:t>
            </w:r>
            <w:r>
              <w:rPr>
                <w:rFonts w:hint="eastAsia" w:ascii="宋体" w:hAnsi="宋体" w:cs="宋体"/>
                <w:i w:val="0"/>
                <w:iCs w:val="0"/>
                <w:color w:val="000000"/>
                <w:sz w:val="21"/>
                <w:szCs w:val="21"/>
                <w:highlight w:val="none"/>
                <w:lang w:eastAsia="zh-CN"/>
              </w:rPr>
              <w:t>条件、能力和信誉</w:t>
            </w:r>
          </w:p>
        </w:tc>
        <w:tc>
          <w:tcPr>
            <w:tcW w:w="6518" w:type="dxa"/>
            <w:noWrap w:val="0"/>
            <w:vAlign w:val="center"/>
          </w:tcPr>
          <w:p w14:paraId="3B9CA339">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见招标公告</w:t>
            </w:r>
          </w:p>
          <w:p w14:paraId="5BDE1A0B">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见投标邀请书</w:t>
            </w:r>
          </w:p>
        </w:tc>
      </w:tr>
      <w:tr w14:paraId="686F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4" w:hRule="atLeast"/>
          <w:jc w:val="center"/>
        </w:trPr>
        <w:tc>
          <w:tcPr>
            <w:tcW w:w="1031" w:type="dxa"/>
            <w:noWrap w:val="0"/>
            <w:vAlign w:val="center"/>
          </w:tcPr>
          <w:p w14:paraId="5791EBA9">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1.4.2</w:t>
            </w:r>
          </w:p>
        </w:tc>
        <w:tc>
          <w:tcPr>
            <w:tcW w:w="2266" w:type="dxa"/>
            <w:noWrap w:val="0"/>
            <w:vAlign w:val="center"/>
          </w:tcPr>
          <w:p w14:paraId="41D76016">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是否接受联合体投标</w:t>
            </w:r>
          </w:p>
        </w:tc>
        <w:tc>
          <w:tcPr>
            <w:tcW w:w="6518" w:type="dxa"/>
            <w:noWrap w:val="0"/>
            <w:vAlign w:val="center"/>
          </w:tcPr>
          <w:p w14:paraId="1C74B3CD">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color w:val="000000"/>
                <w:sz w:val="21"/>
                <w:szCs w:val="21"/>
                <w:highlight w:val="none"/>
              </w:rPr>
            </w:pPr>
            <w:r>
              <w:rPr>
                <w:rFonts w:hint="eastAsia" w:ascii="宋体" w:hAnsi="宋体" w:cs="宋体"/>
                <w:i w:val="0"/>
                <w:iCs w:val="0"/>
                <w:color w:val="000000"/>
                <w:sz w:val="21"/>
                <w:szCs w:val="21"/>
                <w:highlight w:val="none"/>
                <w:lang w:eastAsia="zh-CN"/>
              </w:rPr>
              <w:t>□</w:t>
            </w:r>
            <w:r>
              <w:rPr>
                <w:rFonts w:hint="eastAsia" w:ascii="宋体" w:hAnsi="宋体" w:eastAsia="宋体" w:cs="宋体"/>
                <w:i w:val="0"/>
                <w:iCs w:val="0"/>
                <w:color w:val="000000"/>
                <w:sz w:val="21"/>
                <w:szCs w:val="21"/>
                <w:highlight w:val="none"/>
              </w:rPr>
              <w:t xml:space="preserve">不接受  </w:t>
            </w:r>
          </w:p>
          <w:p w14:paraId="2EDEC786">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sz w:val="21"/>
                <w:szCs w:val="21"/>
                <w:highlight w:val="none"/>
              </w:rPr>
            </w:pPr>
            <w:r>
              <w:rPr>
                <w:rFonts w:hint="eastAsia" w:ascii="宋体" w:hAnsi="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接受。应满足下列要求：见</w:t>
            </w:r>
            <w:r>
              <w:rPr>
                <w:rFonts w:hint="eastAsia" w:ascii="宋体" w:hAnsi="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招标公告□投标邀请书及投标人须知相应条款内容要求。</w:t>
            </w:r>
          </w:p>
        </w:tc>
      </w:tr>
      <w:tr w14:paraId="028CA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4" w:hRule="atLeast"/>
          <w:jc w:val="center"/>
        </w:trPr>
        <w:tc>
          <w:tcPr>
            <w:tcW w:w="1031" w:type="dxa"/>
            <w:noWrap w:val="0"/>
            <w:vAlign w:val="center"/>
          </w:tcPr>
          <w:p w14:paraId="30D958F6">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i w:val="0"/>
                <w:iCs w:val="0"/>
                <w:color w:val="000000"/>
                <w:sz w:val="21"/>
                <w:szCs w:val="21"/>
                <w:highlight w:val="none"/>
                <w:lang w:val="en-US" w:eastAsia="zh-CN"/>
              </w:rPr>
              <w:t>1.4.2（</w:t>
            </w:r>
            <w:r>
              <w:rPr>
                <w:rFonts w:hint="eastAsia" w:ascii="宋体" w:hAnsi="宋体" w:cs="宋体"/>
                <w:i w:val="0"/>
                <w:iCs w:val="0"/>
                <w:color w:val="000000"/>
                <w:sz w:val="21"/>
                <w:szCs w:val="21"/>
                <w:highlight w:val="none"/>
                <w:lang w:val="en-US" w:eastAsia="zh-CN"/>
              </w:rPr>
              <w:t>3</w:t>
            </w:r>
            <w:r>
              <w:rPr>
                <w:rFonts w:hint="eastAsia" w:ascii="宋体" w:hAnsi="宋体" w:eastAsia="宋体" w:cs="宋体"/>
                <w:i w:val="0"/>
                <w:iCs w:val="0"/>
                <w:color w:val="000000"/>
                <w:sz w:val="21"/>
                <w:szCs w:val="21"/>
                <w:highlight w:val="none"/>
                <w:lang w:val="en-US" w:eastAsia="zh-CN"/>
              </w:rPr>
              <w:t>）</w:t>
            </w:r>
          </w:p>
        </w:tc>
        <w:tc>
          <w:tcPr>
            <w:tcW w:w="2266" w:type="dxa"/>
            <w:noWrap w:val="0"/>
            <w:vAlign w:val="center"/>
          </w:tcPr>
          <w:p w14:paraId="5DFDC93A">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i w:val="0"/>
                <w:iCs w:val="0"/>
                <w:color w:val="000000"/>
                <w:sz w:val="21"/>
                <w:szCs w:val="21"/>
                <w:highlight w:val="none"/>
              </w:rPr>
              <w:t>联合体投标</w:t>
            </w:r>
            <w:r>
              <w:rPr>
                <w:rFonts w:hint="eastAsia" w:ascii="宋体" w:hAnsi="宋体" w:eastAsia="宋体" w:cs="宋体"/>
                <w:i w:val="0"/>
                <w:iCs w:val="0"/>
                <w:color w:val="000000"/>
                <w:sz w:val="21"/>
                <w:szCs w:val="21"/>
                <w:highlight w:val="none"/>
                <w:lang w:eastAsia="zh-CN"/>
              </w:rPr>
              <w:t>其他要求</w:t>
            </w:r>
          </w:p>
        </w:tc>
        <w:tc>
          <w:tcPr>
            <w:tcW w:w="6518" w:type="dxa"/>
            <w:noWrap w:val="0"/>
            <w:vAlign w:val="center"/>
          </w:tcPr>
          <w:p w14:paraId="1573E396">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lang w:val="en-US" w:eastAsia="zh-CN"/>
              </w:rPr>
              <w:t>1.</w:t>
            </w:r>
            <w:r>
              <w:rPr>
                <w:rFonts w:hint="eastAsia" w:ascii="宋体" w:hAnsi="宋体" w:eastAsia="宋体" w:cs="宋体"/>
                <w:i w:val="0"/>
                <w:iCs w:val="0"/>
                <w:color w:val="000000"/>
                <w:sz w:val="21"/>
                <w:szCs w:val="21"/>
                <w:highlight w:val="none"/>
              </w:rPr>
              <w:t>招标人支付项目各项费用的约定：</w:t>
            </w:r>
          </w:p>
          <w:p w14:paraId="4017F4D5">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sz w:val="21"/>
                <w:szCs w:val="21"/>
                <w:highlight w:val="none"/>
                <w:lang w:val="en-US" w:eastAsia="zh-CN"/>
              </w:rPr>
            </w:pPr>
            <w:r>
              <w:rPr>
                <w:rFonts w:hint="eastAsia" w:ascii="宋体" w:hAnsi="宋体" w:cs="宋体"/>
                <w:i w:val="0"/>
                <w:iCs w:val="0"/>
                <w:color w:val="000000"/>
                <w:kern w:val="2"/>
                <w:sz w:val="21"/>
                <w:szCs w:val="21"/>
                <w:highlight w:val="none"/>
                <w:lang w:eastAsia="zh-CN"/>
              </w:rPr>
              <w:t>☑</w:t>
            </w:r>
            <w:r>
              <w:rPr>
                <w:rFonts w:hint="eastAsia" w:ascii="宋体" w:hAnsi="宋体" w:eastAsia="宋体" w:cs="宋体"/>
                <w:i w:val="0"/>
                <w:iCs w:val="0"/>
                <w:color w:val="000000"/>
                <w:kern w:val="2"/>
                <w:sz w:val="21"/>
                <w:szCs w:val="21"/>
                <w:highlight w:val="none"/>
                <w:lang w:eastAsia="zh-CN"/>
              </w:rPr>
              <w:t>（</w:t>
            </w:r>
            <w:r>
              <w:rPr>
                <w:rFonts w:hint="eastAsia" w:ascii="宋体" w:hAnsi="宋体" w:eastAsia="宋体" w:cs="宋体"/>
                <w:i w:val="0"/>
                <w:iCs w:val="0"/>
                <w:color w:val="000000"/>
                <w:kern w:val="2"/>
                <w:sz w:val="21"/>
                <w:szCs w:val="21"/>
                <w:highlight w:val="none"/>
                <w:lang w:val="en-US" w:eastAsia="zh-CN"/>
              </w:rPr>
              <w:t>1）</w:t>
            </w:r>
            <w:r>
              <w:rPr>
                <w:rFonts w:hint="eastAsia" w:ascii="宋体" w:hAnsi="宋体" w:eastAsia="宋体" w:cs="宋体"/>
                <w:i w:val="0"/>
                <w:iCs w:val="0"/>
                <w:color w:val="000000"/>
                <w:sz w:val="21"/>
                <w:szCs w:val="21"/>
                <w:highlight w:val="none"/>
                <w:lang w:val="en-US" w:eastAsia="zh-CN"/>
              </w:rPr>
              <w:t>各项费用由招标人直接支付给牵头人，再由牵头人按工作内容分配；</w:t>
            </w:r>
          </w:p>
          <w:p w14:paraId="255C04D5">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kern w:val="2"/>
                <w:sz w:val="21"/>
                <w:szCs w:val="21"/>
                <w:highlight w:val="none"/>
              </w:rPr>
              <w:t>□</w:t>
            </w:r>
            <w:r>
              <w:rPr>
                <w:rFonts w:hint="eastAsia" w:ascii="宋体" w:hAnsi="宋体" w:eastAsia="宋体" w:cs="宋体"/>
                <w:i w:val="0"/>
                <w:iCs w:val="0"/>
                <w:color w:val="000000"/>
                <w:kern w:val="2"/>
                <w:sz w:val="21"/>
                <w:szCs w:val="21"/>
                <w:highlight w:val="none"/>
                <w:lang w:eastAsia="zh-CN"/>
              </w:rPr>
              <w:t>（</w:t>
            </w:r>
            <w:r>
              <w:rPr>
                <w:rFonts w:hint="eastAsia" w:ascii="宋体" w:hAnsi="宋体" w:eastAsia="宋体" w:cs="宋体"/>
                <w:i w:val="0"/>
                <w:iCs w:val="0"/>
                <w:color w:val="000000"/>
                <w:kern w:val="2"/>
                <w:sz w:val="21"/>
                <w:szCs w:val="21"/>
                <w:highlight w:val="none"/>
                <w:lang w:val="en-US" w:eastAsia="zh-CN"/>
              </w:rPr>
              <w:t>2）</w:t>
            </w:r>
            <w:r>
              <w:rPr>
                <w:rFonts w:hint="eastAsia" w:ascii="宋体" w:hAnsi="宋体" w:eastAsia="宋体" w:cs="宋体"/>
                <w:i w:val="0"/>
                <w:iCs w:val="0"/>
                <w:color w:val="000000"/>
                <w:sz w:val="21"/>
                <w:szCs w:val="21"/>
                <w:highlight w:val="none"/>
                <w:lang w:val="en-US" w:eastAsia="zh-CN"/>
              </w:rPr>
              <w:t>各项费用由招标人按联合体成员职责分工，分别支付给联合体各成员</w:t>
            </w:r>
            <w:r>
              <w:rPr>
                <w:rFonts w:hint="eastAsia" w:ascii="宋体" w:hAnsi="宋体" w:eastAsia="宋体" w:cs="宋体"/>
                <w:i w:val="0"/>
                <w:iCs w:val="0"/>
                <w:color w:val="000000"/>
                <w:sz w:val="21"/>
                <w:szCs w:val="21"/>
                <w:highlight w:val="none"/>
                <w:lang w:eastAsia="zh-CN"/>
              </w:rPr>
              <w:t>；</w:t>
            </w:r>
          </w:p>
          <w:p w14:paraId="3A0924C0">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kern w:val="2"/>
                <w:sz w:val="21"/>
                <w:szCs w:val="21"/>
                <w:highlight w:val="none"/>
              </w:rPr>
              <w:t>□</w:t>
            </w:r>
            <w:r>
              <w:rPr>
                <w:rFonts w:hint="eastAsia" w:ascii="宋体" w:hAnsi="宋体" w:eastAsia="宋体" w:cs="宋体"/>
                <w:i w:val="0"/>
                <w:iCs w:val="0"/>
                <w:color w:val="000000"/>
                <w:kern w:val="2"/>
                <w:sz w:val="21"/>
                <w:szCs w:val="21"/>
                <w:highlight w:val="none"/>
                <w:lang w:eastAsia="zh-CN"/>
              </w:rPr>
              <w:t>（</w:t>
            </w:r>
            <w:r>
              <w:rPr>
                <w:rFonts w:hint="eastAsia" w:ascii="宋体" w:hAnsi="宋体" w:eastAsia="宋体" w:cs="宋体"/>
                <w:i w:val="0"/>
                <w:iCs w:val="0"/>
                <w:color w:val="000000"/>
                <w:kern w:val="2"/>
                <w:sz w:val="21"/>
                <w:szCs w:val="21"/>
                <w:highlight w:val="none"/>
                <w:lang w:val="en-US" w:eastAsia="zh-CN"/>
              </w:rPr>
              <w:t>3）</w:t>
            </w:r>
            <w:r>
              <w:rPr>
                <w:rFonts w:hint="eastAsia" w:ascii="宋体" w:hAnsi="宋体" w:eastAsia="宋体" w:cs="宋体"/>
                <w:i w:val="0"/>
                <w:iCs w:val="0"/>
                <w:color w:val="000000"/>
                <w:kern w:val="2"/>
                <w:sz w:val="21"/>
                <w:szCs w:val="21"/>
                <w:highlight w:val="none"/>
                <w:lang w:eastAsia="zh-CN"/>
              </w:rPr>
              <w:t>中标后由发承包双方另行约定；</w:t>
            </w:r>
          </w:p>
          <w:p w14:paraId="6207071F">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kern w:val="2"/>
                <w:sz w:val="21"/>
                <w:szCs w:val="21"/>
                <w:highlight w:val="none"/>
                <w:u w:val="none"/>
                <w:lang w:val="en-US" w:eastAsia="zh-CN"/>
              </w:rPr>
            </w:pPr>
            <w:r>
              <w:rPr>
                <w:rFonts w:hint="eastAsia" w:ascii="宋体" w:hAnsi="宋体" w:eastAsia="宋体" w:cs="宋体"/>
                <w:i w:val="0"/>
                <w:iCs w:val="0"/>
                <w:color w:val="000000"/>
                <w:kern w:val="2"/>
                <w:sz w:val="21"/>
                <w:szCs w:val="21"/>
                <w:highlight w:val="none"/>
              </w:rPr>
              <w:t>□</w:t>
            </w:r>
            <w:r>
              <w:rPr>
                <w:rFonts w:hint="eastAsia" w:ascii="宋体" w:hAnsi="宋体" w:eastAsia="宋体" w:cs="宋体"/>
                <w:i w:val="0"/>
                <w:iCs w:val="0"/>
                <w:color w:val="000000"/>
                <w:kern w:val="2"/>
                <w:sz w:val="21"/>
                <w:szCs w:val="21"/>
                <w:highlight w:val="none"/>
                <w:lang w:eastAsia="zh-CN"/>
              </w:rPr>
              <w:t>（</w:t>
            </w:r>
            <w:r>
              <w:rPr>
                <w:rFonts w:hint="eastAsia" w:ascii="宋体" w:hAnsi="宋体" w:eastAsia="宋体" w:cs="宋体"/>
                <w:i w:val="0"/>
                <w:iCs w:val="0"/>
                <w:color w:val="000000"/>
                <w:kern w:val="2"/>
                <w:sz w:val="21"/>
                <w:szCs w:val="21"/>
                <w:highlight w:val="none"/>
                <w:lang w:val="en-US" w:eastAsia="zh-CN"/>
              </w:rPr>
              <w:t>4）</w:t>
            </w:r>
            <w:r>
              <w:rPr>
                <w:rFonts w:hint="eastAsia" w:ascii="宋体" w:hAnsi="宋体" w:eastAsia="宋体" w:cs="宋体"/>
                <w:i w:val="0"/>
                <w:iCs w:val="0"/>
                <w:color w:val="000000"/>
                <w:kern w:val="2"/>
                <w:sz w:val="21"/>
                <w:szCs w:val="21"/>
                <w:highlight w:val="none"/>
                <w:lang w:eastAsia="zh-CN"/>
              </w:rPr>
              <w:t>其他约定：</w:t>
            </w:r>
            <w:r>
              <w:rPr>
                <w:rFonts w:hint="eastAsia" w:ascii="宋体" w:hAnsi="宋体" w:eastAsia="宋体" w:cs="宋体"/>
                <w:i w:val="0"/>
                <w:iCs w:val="0"/>
                <w:color w:val="000000"/>
                <w:kern w:val="2"/>
                <w:sz w:val="21"/>
                <w:szCs w:val="21"/>
                <w:highlight w:val="none"/>
                <w:u w:val="single"/>
                <w:lang w:val="en-US" w:eastAsia="zh-CN"/>
              </w:rPr>
              <w:t xml:space="preserve">      /      </w:t>
            </w:r>
            <w:r>
              <w:rPr>
                <w:rFonts w:hint="eastAsia" w:ascii="宋体" w:hAnsi="宋体" w:eastAsia="宋体" w:cs="宋体"/>
                <w:i w:val="0"/>
                <w:iCs w:val="0"/>
                <w:color w:val="000000"/>
                <w:kern w:val="2"/>
                <w:sz w:val="21"/>
                <w:szCs w:val="21"/>
                <w:highlight w:val="none"/>
                <w:u w:val="none"/>
                <w:lang w:val="en-US" w:eastAsia="zh-CN"/>
              </w:rPr>
              <w:t>。</w:t>
            </w:r>
          </w:p>
          <w:p w14:paraId="5057047D">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rPr>
              <w:t>2.</w:t>
            </w:r>
            <w:r>
              <w:rPr>
                <w:rFonts w:hint="eastAsia" w:ascii="宋体" w:hAnsi="宋体" w:eastAsia="宋体" w:cs="宋体"/>
                <w:i w:val="0"/>
                <w:iCs w:val="0"/>
                <w:color w:val="000000"/>
                <w:kern w:val="2"/>
                <w:sz w:val="21"/>
                <w:szCs w:val="21"/>
                <w:highlight w:val="none"/>
                <w:lang w:eastAsia="zh-CN"/>
              </w:rPr>
              <w:t>其他：</w:t>
            </w:r>
            <w:r>
              <w:rPr>
                <w:rFonts w:hint="eastAsia" w:ascii="宋体" w:hAnsi="宋体" w:eastAsia="宋体" w:cs="宋体"/>
                <w:i w:val="0"/>
                <w:iCs w:val="0"/>
                <w:color w:val="000000"/>
                <w:kern w:val="2"/>
                <w:sz w:val="21"/>
                <w:szCs w:val="21"/>
                <w:highlight w:val="none"/>
                <w:u w:val="single"/>
                <w:lang w:val="en-US" w:eastAsia="zh-CN"/>
              </w:rPr>
              <w:t xml:space="preserve">      /      </w:t>
            </w:r>
            <w:r>
              <w:rPr>
                <w:rFonts w:hint="eastAsia" w:ascii="宋体" w:hAnsi="宋体" w:eastAsia="宋体" w:cs="宋体"/>
                <w:i w:val="0"/>
                <w:iCs w:val="0"/>
                <w:color w:val="000000"/>
                <w:kern w:val="2"/>
                <w:sz w:val="21"/>
                <w:szCs w:val="21"/>
                <w:highlight w:val="none"/>
                <w:u w:val="none"/>
                <w:lang w:val="en-US" w:eastAsia="zh-CN"/>
              </w:rPr>
              <w:t>。</w:t>
            </w:r>
          </w:p>
        </w:tc>
      </w:tr>
      <w:tr w14:paraId="00D9E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4" w:hRule="atLeast"/>
          <w:jc w:val="center"/>
        </w:trPr>
        <w:tc>
          <w:tcPr>
            <w:tcW w:w="1031" w:type="dxa"/>
            <w:noWrap w:val="0"/>
            <w:vAlign w:val="center"/>
          </w:tcPr>
          <w:p w14:paraId="66C978F1">
            <w:pPr>
              <w:pStyle w:val="43"/>
              <w:keepNext w:val="0"/>
              <w:keepLines w:val="0"/>
              <w:pageBreakBefore w:val="0"/>
              <w:widowControl/>
              <w:kinsoku/>
              <w:wordWrap/>
              <w:overflowPunct/>
              <w:topLinePunct w:val="0"/>
              <w:autoSpaceDE/>
              <w:autoSpaceDN/>
              <w:bidi w:val="0"/>
              <w:adjustRightInd w:val="0"/>
              <w:snapToGrid/>
              <w:spacing w:line="240" w:lineRule="auto"/>
              <w:ind w:left="0" w:leftChars="0"/>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1.5.2</w:t>
            </w:r>
          </w:p>
        </w:tc>
        <w:tc>
          <w:tcPr>
            <w:tcW w:w="2266" w:type="dxa"/>
            <w:noWrap w:val="0"/>
            <w:vAlign w:val="center"/>
          </w:tcPr>
          <w:p w14:paraId="447B2F73">
            <w:pPr>
              <w:pStyle w:val="43"/>
              <w:keepNext w:val="0"/>
              <w:keepLines w:val="0"/>
              <w:pageBreakBefore w:val="0"/>
              <w:widowControl/>
              <w:kinsoku/>
              <w:wordWrap/>
              <w:overflowPunct/>
              <w:topLinePunct w:val="0"/>
              <w:autoSpaceDE/>
              <w:autoSpaceDN/>
              <w:bidi w:val="0"/>
              <w:adjustRightInd w:val="0"/>
              <w:snapToGrid/>
              <w:spacing w:line="240" w:lineRule="auto"/>
              <w:ind w:left="0" w:leftChars="0" w:right="0" w:rightChars="0" w:firstLine="0" w:firstLineChars="0"/>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设计成果补偿</w:t>
            </w:r>
          </w:p>
        </w:tc>
        <w:tc>
          <w:tcPr>
            <w:tcW w:w="6518" w:type="dxa"/>
            <w:noWrap w:val="0"/>
            <w:vAlign w:val="center"/>
          </w:tcPr>
          <w:p w14:paraId="7411D2DF">
            <w:pPr>
              <w:pStyle w:val="43"/>
              <w:keepNext w:val="0"/>
              <w:keepLines w:val="0"/>
              <w:pageBreakBefore w:val="0"/>
              <w:widowControl/>
              <w:kinsoku/>
              <w:wordWrap/>
              <w:overflowPunct/>
              <w:topLinePunct w:val="0"/>
              <w:autoSpaceDE/>
              <w:autoSpaceDN/>
              <w:bidi w:val="0"/>
              <w:adjustRightInd w:val="0"/>
              <w:snapToGrid/>
              <w:spacing w:line="240" w:lineRule="auto"/>
              <w:ind w:left="8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不补偿</w:t>
            </w:r>
          </w:p>
          <w:p w14:paraId="38514D45">
            <w:pPr>
              <w:pStyle w:val="43"/>
              <w:keepNext w:val="0"/>
              <w:keepLines w:val="0"/>
              <w:pageBreakBefore w:val="0"/>
              <w:widowControl/>
              <w:kinsoku/>
              <w:wordWrap/>
              <w:overflowPunct/>
              <w:topLinePunct w:val="0"/>
              <w:autoSpaceDE/>
              <w:autoSpaceDN/>
              <w:bidi w:val="0"/>
              <w:adjustRightInd w:val="0"/>
              <w:snapToGrid/>
              <w:spacing w:line="240" w:lineRule="auto"/>
              <w:ind w:left="85" w:leftChars="0"/>
              <w:jc w:val="both"/>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□补偿，补偿标准：</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1CAB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6B0F7081">
            <w:pPr>
              <w:pStyle w:val="43"/>
              <w:keepNext w:val="0"/>
              <w:keepLines w:val="0"/>
              <w:pageBreakBefore w:val="0"/>
              <w:widowControl/>
              <w:kinsoku/>
              <w:wordWrap/>
              <w:overflowPunct/>
              <w:topLinePunct w:val="0"/>
              <w:autoSpaceDE/>
              <w:autoSpaceDN/>
              <w:bidi w:val="0"/>
              <w:adjustRightInd w:val="0"/>
              <w:snapToGrid/>
              <w:spacing w:line="240" w:lineRule="auto"/>
              <w:ind w:left="158" w:leftChars="0"/>
              <w:jc w:val="center"/>
              <w:textAlignment w:val="auto"/>
              <w:outlineLvl w:val="9"/>
              <w:rPr>
                <w:rFonts w:hint="eastAsia" w:ascii="宋体" w:hAnsi="宋体" w:eastAsia="宋体" w:cs="宋体"/>
                <w:i w:val="0"/>
                <w:iCs w:val="0"/>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1.9.1</w:t>
            </w:r>
          </w:p>
        </w:tc>
        <w:tc>
          <w:tcPr>
            <w:tcW w:w="2266" w:type="dxa"/>
            <w:noWrap w:val="0"/>
            <w:vAlign w:val="center"/>
          </w:tcPr>
          <w:p w14:paraId="5E6B78B8">
            <w:pPr>
              <w:pStyle w:val="43"/>
              <w:keepNext w:val="0"/>
              <w:keepLines w:val="0"/>
              <w:pageBreakBefore w:val="0"/>
              <w:widowControl/>
              <w:kinsoku/>
              <w:wordWrap/>
              <w:overflowPunct/>
              <w:topLinePunct w:val="0"/>
              <w:autoSpaceDE/>
              <w:autoSpaceDN/>
              <w:bidi w:val="0"/>
              <w:adjustRightInd w:val="0"/>
              <w:snapToGrid/>
              <w:spacing w:line="240" w:lineRule="auto"/>
              <w:jc w:val="center"/>
              <w:textAlignment w:val="auto"/>
              <w:outlineLvl w:val="9"/>
              <w:rPr>
                <w:rFonts w:hint="eastAsia" w:ascii="宋体" w:hAnsi="宋体" w:eastAsia="宋体" w:cs="宋体"/>
                <w:i w:val="0"/>
                <w:iCs w:val="0"/>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踏勘现场</w:t>
            </w:r>
          </w:p>
        </w:tc>
        <w:tc>
          <w:tcPr>
            <w:tcW w:w="6518" w:type="dxa"/>
            <w:noWrap w:val="0"/>
            <w:vAlign w:val="center"/>
          </w:tcPr>
          <w:p w14:paraId="4B8A32F0">
            <w:pPr>
              <w:pStyle w:val="43"/>
              <w:keepNext w:val="0"/>
              <w:keepLines w:val="0"/>
              <w:pageBreakBefore w:val="0"/>
              <w:widowControl/>
              <w:kinsoku/>
              <w:wordWrap/>
              <w:overflowPunct/>
              <w:topLinePunct w:val="0"/>
              <w:autoSpaceDE/>
              <w:autoSpaceDN/>
              <w:bidi w:val="0"/>
              <w:adjustRightInd w:val="0"/>
              <w:snapToGrid/>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投标人自行踏勘。</w:t>
            </w:r>
          </w:p>
          <w:p w14:paraId="2A4DFC94">
            <w:pPr>
              <w:pStyle w:val="43"/>
              <w:keepNext w:val="0"/>
              <w:keepLines w:val="0"/>
              <w:pageBreakBefore w:val="0"/>
              <w:widowControl/>
              <w:kinsoku/>
              <w:wordWrap/>
              <w:overflowPunct/>
              <w:topLinePunct w:val="0"/>
              <w:autoSpaceDE/>
              <w:autoSpaceDN/>
              <w:bidi w:val="0"/>
              <w:adjustRightInd w:val="0"/>
              <w:snapToGrid/>
              <w:spacing w:line="240" w:lineRule="auto"/>
              <w:ind w:left="63" w:right="271" w:firstLine="2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□由招标人组织，时间和地点：</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2BBDE128">
            <w:pPr>
              <w:pStyle w:val="43"/>
              <w:keepNext w:val="0"/>
              <w:keepLines w:val="0"/>
              <w:pageBreakBefore w:val="0"/>
              <w:widowControl/>
              <w:kinsoku/>
              <w:wordWrap/>
              <w:overflowPunct/>
              <w:topLinePunct w:val="0"/>
              <w:autoSpaceDE/>
              <w:autoSpaceDN/>
              <w:bidi w:val="0"/>
              <w:adjustRightInd w:val="0"/>
              <w:snapToGrid/>
              <w:spacing w:line="240" w:lineRule="auto"/>
              <w:ind w:left="63" w:leftChars="0" w:right="271" w:rightChars="0" w:firstLine="23" w:firstLineChars="0"/>
              <w:jc w:val="both"/>
              <w:textAlignment w:val="auto"/>
              <w:outlineLvl w:val="9"/>
              <w:rPr>
                <w:rFonts w:hint="eastAsia" w:ascii="宋体" w:hAnsi="宋体" w:eastAsia="宋体" w:cs="宋体"/>
                <w:i w:val="0"/>
                <w:iCs w:val="0"/>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联系人和联系电话：</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488A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1E424F13">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1.10.1</w:t>
            </w:r>
          </w:p>
        </w:tc>
        <w:tc>
          <w:tcPr>
            <w:tcW w:w="2266" w:type="dxa"/>
            <w:noWrap w:val="0"/>
            <w:vAlign w:val="center"/>
          </w:tcPr>
          <w:p w14:paraId="6877421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投标预备会</w:t>
            </w:r>
          </w:p>
        </w:tc>
        <w:tc>
          <w:tcPr>
            <w:tcW w:w="6518" w:type="dxa"/>
            <w:noWrap w:val="0"/>
            <w:vAlign w:val="center"/>
          </w:tcPr>
          <w:p w14:paraId="4D332762">
            <w:pPr>
              <w:pStyle w:val="42"/>
              <w:keepNext w:val="0"/>
              <w:keepLines w:val="0"/>
              <w:pageBreakBefore w:val="0"/>
              <w:kinsoku/>
              <w:wordWrap/>
              <w:overflowPunct/>
              <w:topLinePunct w:val="0"/>
              <w:bidi w:val="0"/>
              <w:adjustRightInd/>
              <w:snapToGrid/>
              <w:spacing w:line="240" w:lineRule="auto"/>
              <w:jc w:val="both"/>
              <w:rPr>
                <w:rFonts w:ascii="宋体" w:hAnsi="宋体" w:cs="Times New Roman"/>
                <w:color w:val="auto"/>
                <w:highlight w:val="none"/>
              </w:rPr>
            </w:pPr>
            <w:r>
              <w:rPr>
                <w:rFonts w:hint="eastAsia" w:ascii="宋体" w:hAnsi="宋体" w:cs="Times New Roman"/>
                <w:color w:val="auto"/>
                <w:highlight w:val="none"/>
                <w:lang w:eastAsia="zh-CN"/>
              </w:rPr>
              <w:t>☑</w:t>
            </w:r>
            <w:r>
              <w:rPr>
                <w:rFonts w:hint="default" w:ascii="宋体" w:hAnsi="宋体" w:cs="Times New Roman"/>
                <w:color w:val="auto"/>
                <w:highlight w:val="none"/>
              </w:rPr>
              <w:t>不召开</w:t>
            </w:r>
          </w:p>
          <w:p w14:paraId="58AC3625">
            <w:pPr>
              <w:pStyle w:val="42"/>
              <w:keepNext w:val="0"/>
              <w:keepLines w:val="0"/>
              <w:pageBreakBefore w:val="0"/>
              <w:kinsoku/>
              <w:wordWrap/>
              <w:overflowPunct/>
              <w:topLinePunct w:val="0"/>
              <w:bidi w:val="0"/>
              <w:adjustRightInd/>
              <w:snapToGrid/>
              <w:spacing w:line="240" w:lineRule="auto"/>
              <w:jc w:val="both"/>
              <w:rPr>
                <w:rFonts w:ascii="宋体" w:hAnsi="宋体" w:cs="Times New Roman"/>
                <w:color w:val="auto"/>
                <w:highlight w:val="none"/>
              </w:rPr>
            </w:pPr>
            <w:r>
              <w:rPr>
                <w:rFonts w:hint="default" w:ascii="宋体" w:hAnsi="宋体" w:cs="Times New Roman"/>
                <w:color w:val="auto"/>
                <w:highlight w:val="none"/>
              </w:rPr>
              <w:t>□召开，召开时间：</w:t>
            </w:r>
            <w:r>
              <w:rPr>
                <w:rFonts w:ascii="宋体" w:hAnsi="宋体" w:cs="Times New Roman"/>
                <w:color w:val="auto"/>
                <w:highlight w:val="none"/>
                <w:u w:val="single"/>
              </w:rPr>
              <w:t xml:space="preserve">         </w:t>
            </w:r>
            <w:r>
              <w:rPr>
                <w:rFonts w:hint="eastAsia" w:ascii="宋体" w:hAnsi="宋体" w:cs="Times New Roman"/>
                <w:color w:val="auto"/>
                <w:highlight w:val="none"/>
                <w:u w:val="single"/>
                <w:lang w:val="en-US" w:eastAsia="zh-CN"/>
              </w:rPr>
              <w:t>/</w:t>
            </w:r>
            <w:r>
              <w:rPr>
                <w:rFonts w:ascii="宋体" w:hAnsi="宋体" w:cs="Times New Roman"/>
                <w:color w:val="auto"/>
                <w:highlight w:val="none"/>
                <w:u w:val="single"/>
              </w:rPr>
              <w:t xml:space="preserve">      </w:t>
            </w:r>
            <w:r>
              <w:rPr>
                <w:rFonts w:hint="default" w:ascii="宋体" w:hAnsi="宋体" w:cs="Times New Roman"/>
                <w:color w:val="auto"/>
                <w:highlight w:val="none"/>
              </w:rPr>
              <w:t>。</w:t>
            </w:r>
          </w:p>
          <w:p w14:paraId="7A182256">
            <w:pPr>
              <w:keepNext w:val="0"/>
              <w:keepLines w:val="0"/>
              <w:pageBreakBefore w:val="0"/>
              <w:kinsoku/>
              <w:wordWrap/>
              <w:overflowPunct/>
              <w:topLinePunct w:val="0"/>
              <w:bidi w:val="0"/>
              <w:adjustRightInd/>
              <w:snapToGrid/>
              <w:spacing w:line="240" w:lineRule="auto"/>
              <w:rPr>
                <w:rFonts w:hint="eastAsia" w:ascii="宋体" w:hAnsi="宋体" w:eastAsia="宋体" w:cs="宋体"/>
                <w:i w:val="0"/>
                <w:iCs w:val="0"/>
                <w:sz w:val="21"/>
                <w:szCs w:val="21"/>
                <w:highlight w:val="none"/>
              </w:rPr>
            </w:pPr>
            <w:r>
              <w:rPr>
                <w:rFonts w:hint="default" w:ascii="宋体" w:hAnsi="宋体" w:cs="Times New Roman"/>
                <w:color w:val="auto"/>
                <w:highlight w:val="none"/>
              </w:rPr>
              <w:t>召开地点：</w:t>
            </w:r>
            <w:r>
              <w:rPr>
                <w:rFonts w:ascii="宋体" w:hAnsi="宋体" w:cs="Times New Roman"/>
                <w:color w:val="auto"/>
                <w:highlight w:val="none"/>
                <w:u w:val="single"/>
              </w:rPr>
              <w:t xml:space="preserve">             </w:t>
            </w:r>
            <w:r>
              <w:rPr>
                <w:rFonts w:hint="eastAsia" w:ascii="宋体" w:hAnsi="宋体" w:cs="Times New Roman"/>
                <w:color w:val="auto"/>
                <w:highlight w:val="none"/>
                <w:u w:val="single"/>
                <w:lang w:val="en-US" w:eastAsia="zh-CN"/>
              </w:rPr>
              <w:t>/</w:t>
            </w:r>
            <w:r>
              <w:rPr>
                <w:rFonts w:ascii="宋体" w:hAnsi="宋体" w:cs="Times New Roman"/>
                <w:color w:val="auto"/>
                <w:highlight w:val="none"/>
                <w:u w:val="single"/>
              </w:rPr>
              <w:t xml:space="preserve">          </w:t>
            </w:r>
            <w:r>
              <w:rPr>
                <w:rFonts w:hint="default" w:ascii="宋体" w:hAnsi="宋体" w:cs="Times New Roman"/>
                <w:color w:val="auto"/>
                <w:highlight w:val="none"/>
              </w:rPr>
              <w:t>。</w:t>
            </w:r>
          </w:p>
        </w:tc>
      </w:tr>
      <w:tr w14:paraId="0B9C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5226D990">
            <w:pPr>
              <w:pStyle w:val="43"/>
              <w:keepNext w:val="0"/>
              <w:keepLines w:val="0"/>
              <w:pageBreakBefore w:val="0"/>
              <w:widowControl/>
              <w:kinsoku/>
              <w:wordWrap/>
              <w:overflowPunct/>
              <w:topLinePunct w:val="0"/>
              <w:autoSpaceDE/>
              <w:autoSpaceDN/>
              <w:bidi w:val="0"/>
              <w:adjustRightInd w:val="0"/>
              <w:snapToGrid/>
              <w:spacing w:line="240" w:lineRule="auto"/>
              <w:ind w:left="98" w:leftChars="0"/>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1.10.2</w:t>
            </w:r>
          </w:p>
        </w:tc>
        <w:tc>
          <w:tcPr>
            <w:tcW w:w="2266" w:type="dxa"/>
            <w:noWrap w:val="0"/>
            <w:vAlign w:val="center"/>
          </w:tcPr>
          <w:p w14:paraId="076F0348">
            <w:pPr>
              <w:pStyle w:val="43"/>
              <w:keepNext w:val="0"/>
              <w:keepLines w:val="0"/>
              <w:pageBreakBefore w:val="0"/>
              <w:widowControl/>
              <w:kinsoku/>
              <w:wordWrap/>
              <w:overflowPunct/>
              <w:topLinePunct w:val="0"/>
              <w:autoSpaceDE/>
              <w:autoSpaceDN/>
              <w:bidi w:val="0"/>
              <w:adjustRightInd w:val="0"/>
              <w:snapToGrid/>
              <w:spacing w:line="240" w:lineRule="auto"/>
              <w:jc w:val="both"/>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投标人提出问题的截止时间、上传疑问方式</w:t>
            </w:r>
          </w:p>
        </w:tc>
        <w:tc>
          <w:tcPr>
            <w:tcW w:w="6518" w:type="dxa"/>
            <w:noWrap w:val="0"/>
            <w:vAlign w:val="top"/>
          </w:tcPr>
          <w:p w14:paraId="5949DF01">
            <w:pPr>
              <w:pStyle w:val="43"/>
              <w:keepNext w:val="0"/>
              <w:keepLines w:val="0"/>
              <w:pageBreakBefore w:val="0"/>
              <w:widowControl/>
              <w:kinsoku/>
              <w:wordWrap/>
              <w:overflowPunct/>
              <w:topLinePunct w:val="0"/>
              <w:autoSpaceDE/>
              <w:autoSpaceDN/>
              <w:bidi w:val="0"/>
              <w:adjustRightInd w:val="0"/>
              <w:snapToGrid/>
              <w:spacing w:line="240" w:lineRule="auto"/>
              <w:ind w:left="6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截止时间：</w:t>
            </w:r>
            <w:r>
              <w:rPr>
                <w:rFonts w:hint="eastAsia" w:asciiTheme="majorEastAsia" w:hAnsiTheme="majorEastAsia" w:eastAsiaTheme="majorEastAsia" w:cstheme="majorEastAsia"/>
                <w:color w:val="auto"/>
                <w:spacing w:val="2"/>
                <w:sz w:val="21"/>
                <w:szCs w:val="21"/>
                <w:highlight w:val="none"/>
                <w:u w:val="single"/>
                <w:lang w:val="en-US" w:eastAsia="zh-CN"/>
              </w:rPr>
              <w:t>2024</w:t>
            </w:r>
            <w:r>
              <w:rPr>
                <w:rFonts w:hint="eastAsia" w:asciiTheme="majorEastAsia" w:hAnsiTheme="majorEastAsia" w:eastAsiaTheme="majorEastAsia" w:cstheme="majorEastAsia"/>
                <w:color w:val="auto"/>
                <w:spacing w:val="2"/>
                <w:sz w:val="21"/>
                <w:szCs w:val="21"/>
                <w:highlight w:val="none"/>
              </w:rPr>
              <w:t>年</w:t>
            </w:r>
            <w:r>
              <w:rPr>
                <w:rFonts w:hint="eastAsia" w:asciiTheme="majorEastAsia" w:hAnsiTheme="majorEastAsia" w:eastAsiaTheme="majorEastAsia" w:cstheme="majorEastAsia"/>
                <w:color w:val="auto"/>
                <w:spacing w:val="2"/>
                <w:sz w:val="21"/>
                <w:szCs w:val="21"/>
                <w:highlight w:val="none"/>
                <w:u w:val="single"/>
                <w:lang w:val="en-US" w:eastAsia="zh-CN"/>
              </w:rPr>
              <w:t xml:space="preserve"> 10 </w:t>
            </w:r>
            <w:r>
              <w:rPr>
                <w:rFonts w:hint="eastAsia" w:asciiTheme="majorEastAsia" w:hAnsiTheme="majorEastAsia" w:eastAsiaTheme="majorEastAsia" w:cstheme="majorEastAsia"/>
                <w:color w:val="auto"/>
                <w:spacing w:val="2"/>
                <w:sz w:val="21"/>
                <w:szCs w:val="21"/>
                <w:highlight w:val="none"/>
              </w:rPr>
              <w:t>月</w:t>
            </w:r>
            <w:r>
              <w:rPr>
                <w:rFonts w:hint="eastAsia" w:asciiTheme="majorEastAsia" w:hAnsiTheme="majorEastAsia" w:eastAsiaTheme="majorEastAsia" w:cstheme="majorEastAsia"/>
                <w:color w:val="auto"/>
                <w:spacing w:val="2"/>
                <w:sz w:val="21"/>
                <w:szCs w:val="21"/>
                <w:highlight w:val="none"/>
                <w:u w:val="single"/>
                <w:lang w:val="en-US" w:eastAsia="zh-CN"/>
              </w:rPr>
              <w:t xml:space="preserve"> 20 </w:t>
            </w:r>
            <w:r>
              <w:rPr>
                <w:rFonts w:hint="eastAsia" w:asciiTheme="majorEastAsia" w:hAnsiTheme="majorEastAsia" w:eastAsiaTheme="majorEastAsia" w:cstheme="majorEastAsia"/>
                <w:color w:val="auto"/>
                <w:spacing w:val="2"/>
                <w:sz w:val="21"/>
                <w:szCs w:val="21"/>
                <w:highlight w:val="none"/>
              </w:rPr>
              <w:t>日</w:t>
            </w:r>
            <w:r>
              <w:rPr>
                <w:rFonts w:hint="eastAsia" w:asciiTheme="majorEastAsia" w:hAnsiTheme="majorEastAsia" w:eastAsiaTheme="majorEastAsia" w:cstheme="majorEastAsia"/>
                <w:color w:val="auto"/>
                <w:spacing w:val="2"/>
                <w:sz w:val="21"/>
                <w:szCs w:val="21"/>
                <w:highlight w:val="none"/>
                <w:u w:val="single"/>
                <w:lang w:val="en-US" w:eastAsia="zh-CN"/>
              </w:rPr>
              <w:t xml:space="preserve"> 17:30 </w:t>
            </w:r>
            <w:r>
              <w:rPr>
                <w:rFonts w:hint="eastAsia" w:asciiTheme="majorEastAsia" w:hAnsiTheme="majorEastAsia" w:eastAsiaTheme="majorEastAsia" w:cstheme="majorEastAsia"/>
                <w:color w:val="auto"/>
                <w:spacing w:val="2"/>
                <w:sz w:val="21"/>
                <w:szCs w:val="21"/>
                <w:highlight w:val="none"/>
                <w:lang w:val="en-US" w:eastAsia="zh-CN"/>
              </w:rPr>
              <w:t>时</w:t>
            </w:r>
            <w:r>
              <w:rPr>
                <w:rFonts w:hint="eastAsia" w:ascii="宋体" w:hAnsi="宋体" w:eastAsia="宋体" w:cs="宋体"/>
                <w:i w:val="0"/>
                <w:iCs w:val="0"/>
                <w:color w:val="auto"/>
                <w:spacing w:val="0"/>
                <w:sz w:val="21"/>
                <w:szCs w:val="21"/>
                <w:highlight w:val="none"/>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投标人在截止时间以后提出的澄清招</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drawing>
                <wp:inline distT="0" distB="0" distL="114300" distR="114300">
                  <wp:extent cx="0" cy="6985"/>
                  <wp:effectExtent l="0" t="0" r="0" b="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icPr>
                        <pic:blipFill>
                          <a:blip r:embed="rId31"/>
                          <a:stretch>
                            <a:fillRect/>
                          </a:stretch>
                        </pic:blipFill>
                        <pic:spPr>
                          <a:xfrm>
                            <a:off x="0" y="0"/>
                            <a:ext cx="0" cy="6985"/>
                          </a:xfrm>
                          <a:prstGeom prst="rect">
                            <a:avLst/>
                          </a:prstGeom>
                          <a:noFill/>
                          <a:ln>
                            <a:noFill/>
                          </a:ln>
                        </pic:spPr>
                      </pic:pic>
                    </a:graphicData>
                  </a:graphic>
                </wp:inline>
              </w:drawing>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标文件的要求 ，招标人可以拒绝受理）</w:t>
            </w:r>
          </w:p>
          <w:p w14:paraId="04CF2EAE">
            <w:pPr>
              <w:pStyle w:val="43"/>
              <w:keepNext w:val="0"/>
              <w:keepLines w:val="0"/>
              <w:pageBreakBefore w:val="0"/>
              <w:widowControl/>
              <w:kinsoku/>
              <w:wordWrap/>
              <w:overflowPunct/>
              <w:topLinePunct w:val="0"/>
              <w:autoSpaceDE/>
              <w:autoSpaceDN/>
              <w:bidi w:val="0"/>
              <w:adjustRightInd w:val="0"/>
              <w:snapToGrid/>
              <w:spacing w:line="240" w:lineRule="auto"/>
              <w:ind w:left="62"/>
              <w:jc w:val="both"/>
              <w:textAlignment w:val="auto"/>
              <w:outlineLvl w:val="9"/>
              <w:rPr>
                <w:rFonts w:hint="eastAsia" w:ascii="宋体" w:hAnsi="宋体" w:eastAsia="宋体" w:cs="宋体"/>
                <w:i w:val="0"/>
                <w:iCs w:val="0"/>
                <w:color w:val="000000" w:themeColor="text1"/>
                <w:spacing w:val="0"/>
                <w:sz w:val="21"/>
                <w:szCs w:val="21"/>
                <w:highlight w:val="none"/>
                <w:u w:val="singl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提交方式:</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通过衢州市公共资源电子交易系统或书面向招标人提出</w:t>
            </w:r>
          </w:p>
          <w:p w14:paraId="1DB01AB8">
            <w:pPr>
              <w:pStyle w:val="43"/>
              <w:keepNext w:val="0"/>
              <w:keepLines w:val="0"/>
              <w:pageBreakBefore w:val="0"/>
              <w:widowControl/>
              <w:kinsoku/>
              <w:wordWrap/>
              <w:overflowPunct/>
              <w:topLinePunct w:val="0"/>
              <w:autoSpaceDE/>
              <w:autoSpaceDN/>
              <w:bidi w:val="0"/>
              <w:adjustRightInd w:val="0"/>
              <w:snapToGrid/>
              <w:spacing w:line="240" w:lineRule="auto"/>
              <w:ind w:left="62" w:leftChars="0"/>
              <w:jc w:val="both"/>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联系方式：</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0570-6826168</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联系人：</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徐女士</w:t>
            </w:r>
          </w:p>
        </w:tc>
      </w:tr>
      <w:tr w14:paraId="21C2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5F96DA8E">
            <w:pPr>
              <w:pStyle w:val="43"/>
              <w:keepNext w:val="0"/>
              <w:keepLines w:val="0"/>
              <w:pageBreakBefore w:val="0"/>
              <w:widowControl/>
              <w:kinsoku/>
              <w:wordWrap/>
              <w:overflowPunct/>
              <w:topLinePunct w:val="0"/>
              <w:autoSpaceDE/>
              <w:autoSpaceDN/>
              <w:bidi w:val="0"/>
              <w:adjustRightInd w:val="0"/>
              <w:snapToGrid/>
              <w:spacing w:line="240" w:lineRule="auto"/>
              <w:ind w:left="98" w:leftChars="0"/>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1.10.3</w:t>
            </w:r>
          </w:p>
        </w:tc>
        <w:tc>
          <w:tcPr>
            <w:tcW w:w="2266" w:type="dxa"/>
            <w:noWrap w:val="0"/>
            <w:vAlign w:val="center"/>
          </w:tcPr>
          <w:p w14:paraId="21ABE59D">
            <w:pPr>
              <w:pStyle w:val="43"/>
              <w:keepNext w:val="0"/>
              <w:keepLines w:val="0"/>
              <w:pageBreakBefore w:val="0"/>
              <w:widowControl/>
              <w:kinsoku/>
              <w:wordWrap/>
              <w:overflowPunct/>
              <w:topLinePunct w:val="0"/>
              <w:autoSpaceDE/>
              <w:autoSpaceDN/>
              <w:bidi w:val="0"/>
              <w:adjustRightInd w:val="0"/>
              <w:snapToGrid/>
              <w:spacing w:line="240" w:lineRule="auto"/>
              <w:ind w:left="0" w:right="0"/>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招标文件的澄清、</w:t>
            </w:r>
          </w:p>
          <w:p w14:paraId="6E4BEE77">
            <w:pPr>
              <w:pStyle w:val="43"/>
              <w:keepNext w:val="0"/>
              <w:keepLines w:val="0"/>
              <w:pageBreakBefore w:val="0"/>
              <w:widowControl/>
              <w:kinsoku/>
              <w:wordWrap/>
              <w:overflowPunct/>
              <w:topLinePunct w:val="0"/>
              <w:autoSpaceDE/>
              <w:autoSpaceDN/>
              <w:bidi w:val="0"/>
              <w:adjustRightInd w:val="0"/>
              <w:snapToGrid/>
              <w:spacing w:line="240" w:lineRule="auto"/>
              <w:ind w:left="0" w:leftChars="0" w:right="0" w:rightChars="0"/>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补充、修改的时间</w:t>
            </w:r>
          </w:p>
        </w:tc>
        <w:tc>
          <w:tcPr>
            <w:tcW w:w="6518" w:type="dxa"/>
            <w:noWrap w:val="0"/>
            <w:vAlign w:val="top"/>
          </w:tcPr>
          <w:p w14:paraId="58E65EF3">
            <w:pPr>
              <w:pStyle w:val="43"/>
              <w:keepNext w:val="0"/>
              <w:keepLines w:val="0"/>
              <w:pageBreakBefore w:val="0"/>
              <w:widowControl/>
              <w:tabs>
                <w:tab w:val="left" w:pos="177"/>
              </w:tabs>
              <w:kinsoku/>
              <w:wordWrap w:val="0"/>
              <w:overflowPunct/>
              <w:topLinePunct/>
              <w:autoSpaceDE/>
              <w:autoSpaceDN/>
              <w:bidi w:val="0"/>
              <w:adjustRightInd w:val="0"/>
              <w:snapToGrid/>
              <w:spacing w:line="240" w:lineRule="auto"/>
              <w:ind w:left="52" w:right="21" w:firstLine="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澄清、补充、修改的内容影响投标文件编制的，招标人将在投标截止时间</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15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日前，在</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衢州市公共资源交易中心网站（</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begin"/>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instrText xml:space="preserve"> HYPERLINK "http://ggzy.qz.gov.cn/" \h </w:instrTex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separate"/>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http://ggzy.qz.gov.cn/</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end"/>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公布，并以电子文件形式上传至交易中心电子招投标交易平台供投标人下载，不足</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15日</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的，招标人将顺延递交投标文件的截止时间。</w:t>
            </w:r>
          </w:p>
          <w:p w14:paraId="37325561">
            <w:pPr>
              <w:pStyle w:val="43"/>
              <w:keepNext w:val="0"/>
              <w:keepLines w:val="0"/>
              <w:pageBreakBefore w:val="0"/>
              <w:widowControl/>
              <w:tabs>
                <w:tab w:val="left" w:pos="177"/>
              </w:tabs>
              <w:kinsoku/>
              <w:wordWrap w:val="0"/>
              <w:overflowPunct/>
              <w:topLinePunct/>
              <w:autoSpaceDE/>
              <w:autoSpaceDN/>
              <w:bidi w:val="0"/>
              <w:adjustRightInd w:val="0"/>
              <w:snapToGrid/>
              <w:spacing w:line="240" w:lineRule="auto"/>
              <w:ind w:left="52" w:right="21" w:firstLine="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澄清、补充、修改的内容不影响投标文件编制的，将在投标文件递交截止时间 </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15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日前，以上款相同的形式发布。</w:t>
            </w:r>
          </w:p>
          <w:p w14:paraId="78A79953">
            <w:pPr>
              <w:pStyle w:val="43"/>
              <w:keepNext w:val="0"/>
              <w:keepLines w:val="0"/>
              <w:pageBreakBefore w:val="0"/>
              <w:widowControl/>
              <w:tabs>
                <w:tab w:val="left" w:pos="177"/>
              </w:tabs>
              <w:kinsoku/>
              <w:wordWrap w:val="0"/>
              <w:overflowPunct/>
              <w:topLinePunct/>
              <w:autoSpaceDE/>
              <w:autoSpaceDN/>
              <w:bidi w:val="0"/>
              <w:adjustRightInd w:val="0"/>
              <w:snapToGrid/>
              <w:spacing w:line="240" w:lineRule="auto"/>
              <w:ind w:left="52" w:right="21" w:firstLine="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公布网址：</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衢州市公共资源交易中心网站（</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begin"/>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instrText xml:space="preserve"> HYPERLINK "http://ggzy.qz.gov.cn/" \h </w:instrTex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separate"/>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http://ggzy.qz.gov.cn/</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fldChar w:fldCharType="end"/>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lang w:eastAsia="zh-CN"/>
                <w14:textFill>
                  <w14:solidFill>
                    <w14:schemeClr w14:val="tx1"/>
                  </w14:solidFill>
                </w14:textFill>
              </w:rPr>
              <w:t>。</w:t>
            </w:r>
          </w:p>
          <w:p w14:paraId="16AD2F5F">
            <w:pPr>
              <w:pStyle w:val="43"/>
              <w:keepNext w:val="0"/>
              <w:keepLines w:val="0"/>
              <w:pageBreakBefore w:val="0"/>
              <w:widowControl/>
              <w:kinsoku/>
              <w:wordWrap w:val="0"/>
              <w:overflowPunct/>
              <w:topLinePunct/>
              <w:autoSpaceDE/>
              <w:autoSpaceDN/>
              <w:bidi w:val="0"/>
              <w:adjustRightInd w:val="0"/>
              <w:snapToGrid/>
              <w:spacing w:line="240" w:lineRule="auto"/>
              <w:jc w:val="both"/>
              <w:textAlignment w:val="auto"/>
              <w:outlineLvl w:val="9"/>
              <w:rPr>
                <w:rFonts w:hint="eastAsia" w:ascii="宋体" w:hAnsi="宋体" w:eastAsia="宋体" w:cs="宋体"/>
                <w:i w:val="0"/>
                <w:iCs w:val="0"/>
                <w:color w:val="auto"/>
                <w:spacing w:val="-103"/>
                <w:kern w:val="2"/>
                <w:sz w:val="21"/>
                <w:szCs w:val="21"/>
                <w:highlight w:val="none"/>
                <w:u w:val="singl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注：</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潜在投标人应密切关注本招标公告发布网，如有补充文件，投标人必须下载最新补充文件并导入投标文件制作工具，否则制作的电子投标文件将无法开标。</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618F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top"/>
          </w:tcPr>
          <w:p w14:paraId="5248973E">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A4C79B">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1.11</w:t>
            </w:r>
          </w:p>
        </w:tc>
        <w:tc>
          <w:tcPr>
            <w:tcW w:w="2266" w:type="dxa"/>
            <w:noWrap w:val="0"/>
            <w:vAlign w:val="center"/>
          </w:tcPr>
          <w:p w14:paraId="3D123BB4">
            <w:pPr>
              <w:pStyle w:val="43"/>
              <w:keepNext w:val="0"/>
              <w:keepLines w:val="0"/>
              <w:pageBreakBefore w:val="0"/>
              <w:widowControl/>
              <w:kinsoku/>
              <w:wordWrap/>
              <w:overflowPunct/>
              <w:topLinePunct w:val="0"/>
              <w:autoSpaceDE/>
              <w:autoSpaceDN/>
              <w:bidi w:val="0"/>
              <w:adjustRightInd w:val="0"/>
              <w:snapToGrid w:val="0"/>
              <w:spacing w:line="240" w:lineRule="auto"/>
              <w:ind w:left="0" w:right="0" w:hanging="100"/>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投标人拟分包</w:t>
            </w:r>
          </w:p>
          <w:p w14:paraId="05C4F034">
            <w:pPr>
              <w:pStyle w:val="43"/>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hanging="100" w:firstLineChars="0"/>
              <w:jc w:val="center"/>
              <w:textAlignment w:val="auto"/>
              <w:outlineLvl w:val="9"/>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的工作</w:t>
            </w:r>
          </w:p>
        </w:tc>
        <w:tc>
          <w:tcPr>
            <w:tcW w:w="6518" w:type="dxa"/>
            <w:noWrap w:val="0"/>
            <w:vAlign w:val="top"/>
          </w:tcPr>
          <w:p w14:paraId="70565EDC">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不允许。</w:t>
            </w:r>
          </w:p>
          <w:p w14:paraId="3C9CEFD9">
            <w:pPr>
              <w:pStyle w:val="43"/>
              <w:keepNext w:val="0"/>
              <w:keepLines w:val="0"/>
              <w:pageBreakBefore w:val="0"/>
              <w:widowControl/>
              <w:kinsoku/>
              <w:wordWrap/>
              <w:overflowPunct/>
              <w:topLinePunct w:val="0"/>
              <w:autoSpaceDE/>
              <w:autoSpaceDN/>
              <w:bidi w:val="0"/>
              <w:adjustRightInd w:val="0"/>
              <w:snapToGrid w:val="0"/>
              <w:spacing w:line="240" w:lineRule="auto"/>
              <w:ind w:left="54" w:leftChars="0" w:firstLine="32" w:firstLineChars="0"/>
              <w:jc w:val="both"/>
              <w:textAlignment w:val="auto"/>
              <w:outlineLvl w:val="9"/>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允许。分包的工程内容：</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分包内容须符合法律法规规定并经发包人认可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3C41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7A3AFA9A">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1.12</w:t>
            </w:r>
          </w:p>
        </w:tc>
        <w:tc>
          <w:tcPr>
            <w:tcW w:w="2266" w:type="dxa"/>
            <w:noWrap w:val="0"/>
            <w:vAlign w:val="center"/>
          </w:tcPr>
          <w:p w14:paraId="4F7DEA92">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偏差</w:t>
            </w:r>
          </w:p>
        </w:tc>
        <w:tc>
          <w:tcPr>
            <w:tcW w:w="6518" w:type="dxa"/>
            <w:noWrap w:val="0"/>
            <w:vAlign w:val="top"/>
          </w:tcPr>
          <w:p w14:paraId="1E7A1F50">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不允许</w:t>
            </w:r>
          </w:p>
          <w:p w14:paraId="7895BE65">
            <w:pPr>
              <w:pStyle w:val="43"/>
              <w:keepNext w:val="0"/>
              <w:keepLines w:val="0"/>
              <w:pageBreakBefore w:val="0"/>
              <w:widowControl/>
              <w:kinsoku/>
              <w:wordWrap/>
              <w:overflowPunct/>
              <w:topLinePunct w:val="0"/>
              <w:autoSpaceDE/>
              <w:autoSpaceDN/>
              <w:bidi w:val="0"/>
              <w:adjustRightInd w:val="0"/>
              <w:snapToGrid w:val="0"/>
              <w:spacing w:line="240" w:lineRule="auto"/>
              <w:ind w:left="86" w:leftChars="0"/>
              <w:jc w:val="both"/>
              <w:textAlignment w:val="auto"/>
              <w:outlineLvl w:val="9"/>
              <w:rPr>
                <w:rFonts w:hint="eastAsia" w:ascii="宋体" w:hAnsi="宋体" w:eastAsia="宋体" w:cs="宋体"/>
                <w:i w:val="0"/>
                <w:iCs w:val="0"/>
                <w:color w:val="auto"/>
                <w:kern w:val="2"/>
                <w:sz w:val="21"/>
                <w:szCs w:val="21"/>
                <w:highlight w:val="none"/>
                <w:u w:val="singl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□允许  允许偏差的内容、偏差范围和幅度：</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0B01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60FD756E">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2.1</w:t>
            </w:r>
          </w:p>
        </w:tc>
        <w:tc>
          <w:tcPr>
            <w:tcW w:w="2266" w:type="dxa"/>
            <w:noWrap w:val="0"/>
            <w:vAlign w:val="center"/>
          </w:tcPr>
          <w:p w14:paraId="61CCF812">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构成招标文件的</w:t>
            </w:r>
          </w:p>
          <w:p w14:paraId="512B1C88">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其他资料</w:t>
            </w:r>
          </w:p>
        </w:tc>
        <w:tc>
          <w:tcPr>
            <w:tcW w:w="6518" w:type="dxa"/>
            <w:noWrap w:val="0"/>
            <w:vAlign w:val="top"/>
          </w:tcPr>
          <w:p w14:paraId="32657C15">
            <w:pPr>
              <w:pStyle w:val="43"/>
              <w:keepNext w:val="0"/>
              <w:keepLines w:val="0"/>
              <w:pageBreakBefore w:val="0"/>
              <w:widowControl/>
              <w:numPr>
                <w:ilvl w:val="0"/>
                <w:numId w:val="5"/>
              </w:numPr>
              <w:kinsoku/>
              <w:wordWrap/>
              <w:overflowPunct/>
              <w:topLinePunct w:val="0"/>
              <w:autoSpaceDE/>
              <w:autoSpaceDN/>
              <w:bidi w:val="0"/>
              <w:adjustRightInd w:val="0"/>
              <w:snapToGrid w:val="0"/>
              <w:spacing w:line="240" w:lineRule="auto"/>
              <w:ind w:left="60" w:right="1" w:firstLine="1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招标控制价及明细（招标控制价所列数量不视为要求承包人实施的实际或准确的工程量，仅作为投标报价参考）；</w:t>
            </w:r>
          </w:p>
          <w:p w14:paraId="3FA381FE">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79" w:leftChars="0" w:right="1" w:right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2.（1）本项目不具备公开完整项目建议书、可行性研究 报告、初步设计文件的条件，故前期项目建议书、可行性研究报告、初步设计文件的编制单位及其评估单位不允许参与本工程总承包项目的投标。 （适用政府投资项目）</w:t>
            </w:r>
          </w:p>
          <w:p w14:paraId="3C3B09FB">
            <w:pPr>
              <w:pStyle w:val="43"/>
              <w:keepNext w:val="0"/>
              <w:keepLines w:val="0"/>
              <w:pageBreakBefore w:val="0"/>
              <w:widowControl/>
              <w:kinsoku/>
              <w:wordWrap/>
              <w:overflowPunct/>
              <w:topLinePunct w:val="0"/>
              <w:autoSpaceDE/>
              <w:autoSpaceDN/>
              <w:bidi w:val="0"/>
              <w:adjustRightInd w:val="0"/>
              <w:snapToGrid w:val="0"/>
              <w:spacing w:line="240" w:lineRule="auto"/>
              <w:ind w:left="61" w:firstLine="2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（2）本项目已公开完整的项目建议书、可行性研究报告、 初步设计文件,允许上述前期项目建议书、可行性研究报告、初步设计文件的编制单位及其评估单位参与本工程总承包项目的投标。（适用政府投资项目）</w:t>
            </w:r>
          </w:p>
          <w:p w14:paraId="1E41B96A">
            <w:pPr>
              <w:pStyle w:val="43"/>
              <w:keepNext w:val="0"/>
              <w:keepLines w:val="0"/>
              <w:pageBreakBefore w:val="0"/>
              <w:widowControl/>
              <w:kinsoku/>
              <w:wordWrap/>
              <w:overflowPunct/>
              <w:topLinePunct w:val="0"/>
              <w:autoSpaceDE/>
              <w:autoSpaceDN/>
              <w:bidi w:val="0"/>
              <w:adjustRightInd w:val="0"/>
              <w:snapToGrid w:val="0"/>
              <w:spacing w:line="240" w:lineRule="auto"/>
              <w:ind w:left="52"/>
              <w:jc w:val="both"/>
              <w:textAlignment w:val="auto"/>
              <w:outlineLvl w:val="9"/>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pPr>
            <w:r>
              <w:rPr>
                <w:rFonts w:hint="eastAsia"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（3）其他：</w:t>
            </w:r>
            <w:r>
              <w:rPr>
                <w:rFonts w:hint="eastAsia" w:ascii="宋体" w:hAnsi="宋体" w:eastAsia="宋体" w:cs="宋体"/>
                <w:color w:val="000000" w:themeColor="text1"/>
                <w:sz w:val="21"/>
                <w:szCs w:val="21"/>
                <w:highlight w:val="none"/>
                <w:u w:val="single"/>
                <w:lang w:val="en-US"/>
                <w14:textFill>
                  <w14:solidFill>
                    <w14:schemeClr w14:val="tx1"/>
                  </w14:solidFill>
                </w14:textFill>
              </w:rPr>
              <w:t>本项目已公开完整的初步设计文件</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 w:val="21"/>
                <w:szCs w:val="21"/>
                <w:highlight w:val="none"/>
                <w:u w:val="single"/>
                <w:lang w:val="en-US"/>
                <w14:textFill>
                  <w14:solidFill>
                    <w14:schemeClr w14:val="tx1"/>
                  </w14:solidFill>
                </w14:textFill>
              </w:rPr>
              <w:t>允许初步设计文件的编制单位参与本工程总承包项目的投标。</w:t>
            </w:r>
          </w:p>
          <w:p w14:paraId="4E99C164">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 其他：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42D7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4F6085A9">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2.2.1</w:t>
            </w:r>
          </w:p>
        </w:tc>
        <w:tc>
          <w:tcPr>
            <w:tcW w:w="2266" w:type="dxa"/>
            <w:noWrap w:val="0"/>
            <w:vAlign w:val="center"/>
          </w:tcPr>
          <w:p w14:paraId="17313CFE">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投标人要求澄清招标文件的截止时间</w:t>
            </w:r>
          </w:p>
        </w:tc>
        <w:tc>
          <w:tcPr>
            <w:tcW w:w="6518" w:type="dxa"/>
            <w:noWrap w:val="0"/>
            <w:vAlign w:val="center"/>
          </w:tcPr>
          <w:p w14:paraId="381976ED">
            <w:pPr>
              <w:pStyle w:val="43"/>
              <w:keepNext w:val="0"/>
              <w:keepLines w:val="0"/>
              <w:pageBreakBefore w:val="0"/>
              <w:widowControl/>
              <w:kinsoku/>
              <w:wordWrap/>
              <w:overflowPunct/>
              <w:topLinePunct w:val="0"/>
              <w:autoSpaceDE/>
              <w:autoSpaceDN/>
              <w:bidi w:val="0"/>
              <w:adjustRightInd w:val="0"/>
              <w:snapToGrid w:val="0"/>
              <w:spacing w:line="240" w:lineRule="auto"/>
              <w:ind w:left="85"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同投标人须知前附表第1.10.2项</w:t>
            </w:r>
          </w:p>
        </w:tc>
      </w:tr>
      <w:tr w14:paraId="53B6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top"/>
          </w:tcPr>
          <w:p w14:paraId="67C67BE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D7636D4">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2.2.2</w:t>
            </w:r>
          </w:p>
        </w:tc>
        <w:tc>
          <w:tcPr>
            <w:tcW w:w="2266" w:type="dxa"/>
            <w:noWrap w:val="0"/>
            <w:vAlign w:val="center"/>
          </w:tcPr>
          <w:p w14:paraId="0639FAB7">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投标截止时间/电子投标文件上传截止时间</w:t>
            </w:r>
          </w:p>
        </w:tc>
        <w:tc>
          <w:tcPr>
            <w:tcW w:w="6518" w:type="dxa"/>
            <w:noWrap w:val="0"/>
            <w:vAlign w:val="center"/>
          </w:tcPr>
          <w:p w14:paraId="2998D973">
            <w:pPr>
              <w:pStyle w:val="43"/>
              <w:keepNext w:val="0"/>
              <w:keepLines w:val="0"/>
              <w:pageBreakBefore w:val="0"/>
              <w:widowControl/>
              <w:tabs>
                <w:tab w:val="left" w:pos="472"/>
              </w:tabs>
              <w:kinsoku/>
              <w:wordWrap/>
              <w:overflowPunct/>
              <w:topLinePunct w:val="0"/>
              <w:autoSpaceDE/>
              <w:autoSpaceDN/>
              <w:bidi w:val="0"/>
              <w:adjustRightInd w:val="0"/>
              <w:snapToGrid w:val="0"/>
              <w:spacing w:line="240" w:lineRule="auto"/>
              <w:ind w:left="52" w:leftChars="0"/>
              <w:jc w:val="both"/>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 xml:space="preserve">10 </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u w:val="single"/>
                <w:lang w:val="en-US" w:eastAsia="zh-CN"/>
              </w:rPr>
              <w:t xml:space="preserve"> 31 </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u w:val="single"/>
                <w:lang w:val="en-US" w:eastAsia="zh-CN"/>
              </w:rPr>
              <w:t xml:space="preserve"> 9 </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分</w:t>
            </w:r>
          </w:p>
        </w:tc>
      </w:tr>
      <w:tr w14:paraId="27DF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jc w:val="center"/>
        </w:trPr>
        <w:tc>
          <w:tcPr>
            <w:tcW w:w="1031" w:type="dxa"/>
            <w:noWrap w:val="0"/>
            <w:vAlign w:val="center"/>
          </w:tcPr>
          <w:p w14:paraId="58D13A71">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2.2.3</w:t>
            </w:r>
          </w:p>
        </w:tc>
        <w:tc>
          <w:tcPr>
            <w:tcW w:w="2266" w:type="dxa"/>
            <w:noWrap w:val="0"/>
            <w:vAlign w:val="center"/>
          </w:tcPr>
          <w:p w14:paraId="07E7E655">
            <w:pPr>
              <w:pStyle w:val="43"/>
              <w:keepNext w:val="0"/>
              <w:keepLines w:val="0"/>
              <w:pageBreakBefore w:val="0"/>
              <w:widowControl/>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投标人确认收到招标文件澄清的时间</w:t>
            </w:r>
          </w:p>
        </w:tc>
        <w:tc>
          <w:tcPr>
            <w:tcW w:w="6518" w:type="dxa"/>
            <w:noWrap w:val="0"/>
            <w:vAlign w:val="center"/>
          </w:tcPr>
          <w:p w14:paraId="207DE54F">
            <w:pPr>
              <w:pStyle w:val="43"/>
              <w:keepNext w:val="0"/>
              <w:keepLines w:val="0"/>
              <w:pageBreakBefore w:val="0"/>
              <w:widowControl/>
              <w:kinsoku/>
              <w:wordWrap/>
              <w:overflowPunct/>
              <w:topLinePunct w:val="0"/>
              <w:autoSpaceDE/>
              <w:autoSpaceDN/>
              <w:bidi w:val="0"/>
              <w:adjustRightInd w:val="0"/>
              <w:snapToGrid w:val="0"/>
              <w:spacing w:line="240" w:lineRule="auto"/>
              <w:ind w:left="61" w:leftChars="0" w:right="104" w:righ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在投标人应自行关注当地招投标交易平台发布的补充文件信息，招标人不再逐一通知。投标人因自身贻误行为导致投标失败的，责任自负。</w:t>
            </w:r>
          </w:p>
        </w:tc>
      </w:tr>
      <w:tr w14:paraId="5C29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BC74BDD">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3.1</w:t>
            </w:r>
          </w:p>
        </w:tc>
        <w:tc>
          <w:tcPr>
            <w:tcW w:w="2266" w:type="dxa"/>
            <w:noWrap w:val="0"/>
            <w:vAlign w:val="center"/>
          </w:tcPr>
          <w:p w14:paraId="61CB1C0C">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000000"/>
                <w:sz w:val="21"/>
                <w:szCs w:val="21"/>
                <w:highlight w:val="none"/>
              </w:rPr>
              <w:t>投标文件的组成</w:t>
            </w:r>
          </w:p>
        </w:tc>
        <w:tc>
          <w:tcPr>
            <w:tcW w:w="6518" w:type="dxa"/>
            <w:noWrap w:val="0"/>
            <w:vAlign w:val="center"/>
          </w:tcPr>
          <w:p w14:paraId="0ED2EB59">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3.1.1资格审查资料</w:t>
            </w:r>
          </w:p>
          <w:p w14:paraId="2084171F">
            <w:pPr>
              <w:pStyle w:val="43"/>
              <w:keepNext w:val="0"/>
              <w:keepLines w:val="0"/>
              <w:pageBreakBefore w:val="0"/>
              <w:widowControl/>
              <w:numPr>
                <w:ilvl w:val="0"/>
                <w:numId w:val="6"/>
              </w:numPr>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封面；</w:t>
            </w:r>
          </w:p>
          <w:p w14:paraId="72DACB62">
            <w:pPr>
              <w:pStyle w:val="43"/>
              <w:keepNext w:val="0"/>
              <w:keepLines w:val="0"/>
              <w:pageBreakBefore w:val="0"/>
              <w:widowControl/>
              <w:numPr>
                <w:ilvl w:val="0"/>
                <w:numId w:val="6"/>
              </w:numPr>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目录；</w:t>
            </w:r>
          </w:p>
          <w:p w14:paraId="52C1D10A">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）资质资格证明材料；</w:t>
            </w:r>
          </w:p>
          <w:p w14:paraId="21A41516">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）项目管理班子配备；</w:t>
            </w:r>
          </w:p>
          <w:p w14:paraId="45F7B2A5">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①项目管理班子配备情况表；</w:t>
            </w:r>
          </w:p>
          <w:p w14:paraId="6B4A3AE8">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②项目负责人简历表；</w:t>
            </w:r>
          </w:p>
          <w:p w14:paraId="75B98DB8">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③施工负责人简历表；</w:t>
            </w:r>
          </w:p>
          <w:p w14:paraId="4F84E224">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④设计负责人简历表；</w:t>
            </w:r>
          </w:p>
          <w:p w14:paraId="5454EB6E">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⑤施工技术负责人简历表；</w:t>
            </w:r>
          </w:p>
          <w:p w14:paraId="21F0A2EC">
            <w:pPr>
              <w:pStyle w:val="43"/>
              <w:keepNext w:val="0"/>
              <w:keepLines w:val="0"/>
              <w:pageBreakBefore w:val="0"/>
              <w:widowControl/>
              <w:kinsoku/>
              <w:wordWrap/>
              <w:overflowPunct/>
              <w:topLinePunct w:val="0"/>
              <w:autoSpaceDE/>
              <w:autoSpaceDN/>
              <w:bidi w:val="0"/>
              <w:adjustRightInd w:val="0"/>
              <w:snapToGrid w:val="0"/>
              <w:spacing w:line="240" w:lineRule="auto"/>
              <w:ind w:lef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⑥项目管理班子配备情况其它辅助说明资料。</w:t>
            </w:r>
          </w:p>
          <w:p w14:paraId="44B6A714">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）投标保证金；</w:t>
            </w:r>
          </w:p>
          <w:p w14:paraId="15E52B55">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）联合体协议书</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如有</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454A8E67">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）省外企业进浙承接业务备案证明</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w:t>
            </w:r>
          </w:p>
          <w:p w14:paraId="3015B7BA">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（8）提供投标人自招标公告发布之日至投标截止日之间任意一次在“浙江省建筑市场监管公共服务系统”上，参与投标资质的“资质动态核查结果证明”</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w:t>
            </w:r>
          </w:p>
          <w:p w14:paraId="388C4165">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9</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06A817EA">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rPr>
              <w:t>3.1.2技术标主要包括下列内容（具体按评标办法评审要求编制）</w:t>
            </w:r>
            <w:r>
              <w:rPr>
                <w:rFonts w:hint="eastAsia" w:ascii="宋体" w:hAnsi="宋体" w:eastAsia="宋体" w:cs="宋体"/>
                <w:i w:val="0"/>
                <w:iCs w:val="0"/>
                <w:color w:val="auto"/>
                <w:spacing w:val="0"/>
                <w:sz w:val="21"/>
                <w:szCs w:val="21"/>
                <w:highlight w:val="none"/>
                <w:lang w:eastAsia="zh-CN"/>
              </w:rPr>
              <w:t>：</w:t>
            </w:r>
          </w:p>
          <w:p w14:paraId="7BCBB920">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1</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封面；</w:t>
            </w:r>
          </w:p>
          <w:p w14:paraId="7918F577">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（2）目录；</w:t>
            </w:r>
          </w:p>
          <w:p w14:paraId="45E1262B">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3</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工程总承包管理方案</w:t>
            </w:r>
          </w:p>
          <w:p w14:paraId="2A9925CB">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4</w:t>
            </w:r>
            <w:r>
              <w:rPr>
                <w:rFonts w:hint="eastAsia" w:ascii="宋体" w:hAnsi="宋体" w:eastAsia="宋体" w:cs="宋体"/>
                <w:i w:val="0"/>
                <w:iCs w:val="0"/>
                <w:color w:val="auto"/>
                <w:spacing w:val="0"/>
                <w:sz w:val="21"/>
                <w:szCs w:val="21"/>
                <w:highlight w:val="none"/>
                <w:lang w:eastAsia="zh-CN"/>
              </w:rPr>
              <w:t>）设计方案</w:t>
            </w:r>
          </w:p>
          <w:p w14:paraId="16410B99">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5</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施工方案</w:t>
            </w:r>
          </w:p>
          <w:p w14:paraId="0966F249">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6</w:t>
            </w:r>
            <w:r>
              <w:rPr>
                <w:rFonts w:hint="eastAsia" w:ascii="宋体" w:hAnsi="宋体" w:eastAsia="宋体" w:cs="宋体"/>
                <w:i w:val="0"/>
                <w:iCs w:val="0"/>
                <w:color w:val="auto"/>
                <w:spacing w:val="0"/>
                <w:sz w:val="21"/>
                <w:szCs w:val="21"/>
                <w:highlight w:val="none"/>
                <w:lang w:eastAsia="zh-CN"/>
              </w:rPr>
              <w:t>）采购方案</w:t>
            </w:r>
          </w:p>
          <w:p w14:paraId="11709E5F">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7</w:t>
            </w:r>
            <w:r>
              <w:rPr>
                <w:rFonts w:hint="eastAsia" w:ascii="宋体" w:hAnsi="宋体" w:eastAsia="宋体" w:cs="宋体"/>
                <w:i w:val="0"/>
                <w:iCs w:val="0"/>
                <w:color w:val="auto"/>
                <w:spacing w:val="0"/>
                <w:sz w:val="21"/>
                <w:szCs w:val="21"/>
                <w:highlight w:val="none"/>
                <w:lang w:eastAsia="zh-CN"/>
              </w:rPr>
              <w:t>）服务承诺与售后服务</w:t>
            </w:r>
          </w:p>
          <w:p w14:paraId="305E6704">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8</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招标人要求提交的其他资料</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(详见投标须知前附表)</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629ACD70">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3.1.3投标人资信标主要包括下列内容（具体按评标办法评审要求编制）</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54BB8695">
            <w:pPr>
              <w:pStyle w:val="43"/>
              <w:keepNext w:val="0"/>
              <w:keepLines w:val="0"/>
              <w:pageBreakBefore w:val="0"/>
              <w:widowControl/>
              <w:numPr>
                <w:ilvl w:val="0"/>
                <w:numId w:val="7"/>
              </w:numPr>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封面</w:t>
            </w:r>
          </w:p>
          <w:p w14:paraId="24F0FA07">
            <w:pPr>
              <w:pStyle w:val="43"/>
              <w:keepNext w:val="0"/>
              <w:keepLines w:val="0"/>
              <w:pageBreakBefore w:val="0"/>
              <w:widowControl/>
              <w:numPr>
                <w:ilvl w:val="0"/>
                <w:numId w:val="7"/>
              </w:numPr>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目录</w:t>
            </w:r>
          </w:p>
          <w:p w14:paraId="09B2D044">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5" w:leftChars="0" w:hanging="425" w:firstLine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3</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□近年财务状况表；</w:t>
            </w:r>
          </w:p>
          <w:p w14:paraId="240BE449">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5" w:leftChars="0" w:hanging="425" w:firstLine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业绩汇总表（评分业绩条件的汇总）；</w:t>
            </w:r>
          </w:p>
          <w:p w14:paraId="4C6EB503">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425" w:leftChars="0" w:hanging="425" w:firstLine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5</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p>
          <w:p w14:paraId="27CABC84">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3.1.4商务标主要内容包括下列内容：</w:t>
            </w:r>
          </w:p>
          <w:p w14:paraId="4F9E6C5E">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fldChar w:fldCharType="begin"/>
            </w:r>
            <w:r>
              <w:rPr>
                <w:rFonts w:hint="eastAsia" w:ascii="宋体" w:hAnsi="宋体" w:eastAsia="宋体" w:cs="宋体"/>
                <w:i w:val="0"/>
                <w:iCs w:val="0"/>
                <w:color w:val="000000" w:themeColor="text1"/>
                <w:spacing w:val="0"/>
                <w:sz w:val="21"/>
                <w:szCs w:val="21"/>
                <w:highlight w:val="none"/>
                <w14:textFill>
                  <w14:solidFill>
                    <w14:schemeClr w14:val="tx1"/>
                  </w14:solidFill>
                </w14:textFill>
              </w:rPr>
              <w:instrText xml:space="preserve"> HYPERLINK "3.1.4.1" </w:instrTex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fldChar w:fldCharType="separate"/>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3.1.4.1</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fldChar w:fldCharType="end"/>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投标函及商务标相关附件</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2526A4A2">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封面</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2A544F7E">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目录</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534D62FD">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）法定代表人资格证明书；</w:t>
            </w:r>
          </w:p>
          <w:p w14:paraId="43F12E55">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）法定代表人授权委托书、参加开标会议委托书参考格式；</w:t>
            </w:r>
          </w:p>
          <w:p w14:paraId="7039D909">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）投标函；</w:t>
            </w:r>
          </w:p>
          <w:p w14:paraId="17714552">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）投标函附录；</w:t>
            </w:r>
          </w:p>
          <w:p w14:paraId="4362C7F9">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）投标承诺书；</w:t>
            </w:r>
          </w:p>
          <w:p w14:paraId="6ED3AED4">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）招标文件要求投标人提交的其它投标资料(详见投标须知前附表)</w:t>
            </w:r>
          </w:p>
          <w:p w14:paraId="6302DB21">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4874CB" w:themeColor="accent1"/>
                <w:spacing w:val="0"/>
                <w:sz w:val="21"/>
                <w:szCs w:val="21"/>
                <w:highlight w:val="none"/>
                <w:lang w:val="en-US" w:eastAsia="zh-CN"/>
                <w14:textFill>
                  <w14:solidFill>
                    <w14:schemeClr w14:val="accent1"/>
                  </w14:solidFill>
                </w14:textFill>
              </w:rPr>
            </w:pPr>
            <w:r>
              <w:rPr>
                <w:rFonts w:hint="eastAsia" w:ascii="宋体" w:hAnsi="宋体" w:eastAsia="宋体" w:cs="宋体"/>
                <w:i w:val="0"/>
                <w:iCs w:val="0"/>
                <w:color w:val="auto"/>
                <w:spacing w:val="0"/>
                <w:sz w:val="21"/>
                <w:szCs w:val="21"/>
                <w:highlight w:val="none"/>
              </w:rPr>
              <w:fldChar w:fldCharType="begin"/>
            </w:r>
            <w:r>
              <w:rPr>
                <w:rFonts w:hint="eastAsia" w:ascii="宋体" w:hAnsi="宋体" w:eastAsia="宋体" w:cs="宋体"/>
                <w:i w:val="0"/>
                <w:iCs w:val="0"/>
                <w:color w:val="auto"/>
                <w:spacing w:val="0"/>
                <w:sz w:val="21"/>
                <w:szCs w:val="21"/>
                <w:highlight w:val="none"/>
              </w:rPr>
              <w:instrText xml:space="preserve"> HYPERLINK "3.1.4.2" </w:instrText>
            </w:r>
            <w:r>
              <w:rPr>
                <w:rFonts w:hint="eastAsia" w:ascii="宋体" w:hAnsi="宋体" w:eastAsia="宋体" w:cs="宋体"/>
                <w:i w:val="0"/>
                <w:iCs w:val="0"/>
                <w:color w:val="auto"/>
                <w:spacing w:val="0"/>
                <w:sz w:val="21"/>
                <w:szCs w:val="21"/>
                <w:highlight w:val="none"/>
              </w:rPr>
              <w:fldChar w:fldCharType="separate"/>
            </w:r>
            <w:r>
              <w:rPr>
                <w:rFonts w:hint="eastAsia" w:ascii="宋体" w:hAnsi="宋体" w:eastAsia="宋体" w:cs="宋体"/>
                <w:i w:val="0"/>
                <w:iCs w:val="0"/>
                <w:color w:val="auto"/>
                <w:spacing w:val="0"/>
                <w:sz w:val="21"/>
                <w:szCs w:val="21"/>
                <w:highlight w:val="none"/>
              </w:rPr>
              <w:t>3.1.4.2</w:t>
            </w:r>
            <w:r>
              <w:rPr>
                <w:rFonts w:hint="eastAsia" w:ascii="宋体" w:hAnsi="宋体" w:eastAsia="宋体" w:cs="宋体"/>
                <w:i w:val="0"/>
                <w:iCs w:val="0"/>
                <w:color w:val="auto"/>
                <w:spacing w:val="0"/>
                <w:sz w:val="21"/>
                <w:szCs w:val="21"/>
                <w:highlight w:val="none"/>
              </w:rPr>
              <w:fldChar w:fldCharType="end"/>
            </w:r>
            <w:r>
              <w:rPr>
                <w:rFonts w:hint="eastAsia" w:ascii="宋体" w:hAnsi="宋体" w:eastAsia="宋体" w:cs="宋体"/>
                <w:i w:val="0"/>
                <w:iCs w:val="0"/>
                <w:color w:val="auto"/>
                <w:spacing w:val="0"/>
                <w:sz w:val="21"/>
                <w:szCs w:val="21"/>
                <w:highlight w:val="none"/>
              </w:rPr>
              <w:t>已标价工程量清单</w:t>
            </w:r>
            <w:r>
              <w:rPr>
                <w:rFonts w:hint="eastAsia" w:ascii="宋体" w:hAnsi="宋体" w:eastAsia="宋体" w:cs="宋体"/>
                <w:i w:val="0"/>
                <w:iCs w:val="0"/>
                <w:color w:val="auto"/>
                <w:spacing w:val="0"/>
                <w:sz w:val="21"/>
                <w:szCs w:val="21"/>
                <w:highlight w:val="none"/>
                <w:lang w:eastAsia="zh-CN"/>
              </w:rPr>
              <w:t>。</w:t>
            </w:r>
          </w:p>
          <w:p w14:paraId="3B60E7D7">
            <w:pPr>
              <w:pStyle w:val="43"/>
              <w:keepNext w:val="0"/>
              <w:keepLines w:val="0"/>
              <w:pageBreakBefore w:val="0"/>
              <w:widowControl/>
              <w:kinsoku/>
              <w:wordWrap/>
              <w:overflowPunct/>
              <w:topLinePunct w:val="0"/>
              <w:autoSpaceDE/>
              <w:autoSpaceDN/>
              <w:bidi w:val="0"/>
              <w:adjustRightInd w:val="0"/>
              <w:snapToGrid w:val="0"/>
              <w:spacing w:line="240" w:lineRule="auto"/>
              <w:ind w:left="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3.1.5招标公告（或投标邀请书）规定不接受联合体投标的，或投标人没有组成联合体的，投标文件不包括联合体协议书。 </w:t>
            </w:r>
          </w:p>
          <w:p w14:paraId="54A57D1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000000"/>
                <w:sz w:val="21"/>
                <w:szCs w:val="21"/>
                <w:highlight w:val="none"/>
                <w:lang w:eastAsia="zh-CN"/>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3.1.6招标文件要求投标人提交的其它投标资料(见投标须知前附表</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tc>
      </w:tr>
      <w:tr w14:paraId="0D35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B0B6A01">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3.1.6</w:t>
            </w:r>
          </w:p>
        </w:tc>
        <w:tc>
          <w:tcPr>
            <w:tcW w:w="2266" w:type="dxa"/>
            <w:noWrap w:val="0"/>
            <w:vAlign w:val="center"/>
          </w:tcPr>
          <w:p w14:paraId="0591D2E0">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kern w:val="2"/>
                <w:sz w:val="21"/>
                <w:szCs w:val="21"/>
                <w:highlight w:val="red"/>
                <w:lang w:val="en-US" w:eastAsia="zh-CN" w:bidi="ar-SA"/>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构成投标文件的其他资料</w:t>
            </w:r>
          </w:p>
        </w:tc>
        <w:tc>
          <w:tcPr>
            <w:tcW w:w="6518" w:type="dxa"/>
            <w:noWrap w:val="0"/>
            <w:vAlign w:val="center"/>
          </w:tcPr>
          <w:p w14:paraId="57D16A51">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  □有</w:t>
            </w:r>
          </w:p>
        </w:tc>
      </w:tr>
      <w:tr w14:paraId="4455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C4E9CBF">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3.2.4</w:t>
            </w:r>
          </w:p>
        </w:tc>
        <w:tc>
          <w:tcPr>
            <w:tcW w:w="2266" w:type="dxa"/>
            <w:noWrap w:val="0"/>
            <w:vAlign w:val="center"/>
          </w:tcPr>
          <w:p w14:paraId="1C0424F3">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最高投标限价或其计算方法</w:t>
            </w:r>
          </w:p>
        </w:tc>
        <w:tc>
          <w:tcPr>
            <w:tcW w:w="6518" w:type="dxa"/>
            <w:noWrap w:val="0"/>
            <w:vAlign w:val="top"/>
          </w:tcPr>
          <w:p w14:paraId="65C8FFB1">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1.最高投标限价</w:t>
            </w:r>
            <w:r>
              <w:rPr>
                <w:rFonts w:hint="eastAsia" w:ascii="宋体" w:hAnsi="宋体" w:eastAsia="宋体" w:cs="宋体"/>
                <w:i w:val="0"/>
                <w:iCs w:val="0"/>
                <w:color w:val="auto"/>
                <w:spacing w:val="0"/>
                <w:sz w:val="21"/>
                <w:szCs w:val="21"/>
                <w:highlight w:val="none"/>
                <w:u w:val="single"/>
                <w:lang w:val="en-US" w:eastAsia="zh-CN"/>
              </w:rPr>
              <w:t xml:space="preserve"> </w:t>
            </w:r>
            <w:r>
              <w:rPr>
                <w:rFonts w:hint="eastAsia" w:ascii="宋体" w:hAnsi="宋体" w:eastAsia="宋体" w:cs="宋体"/>
                <w:color w:val="auto"/>
                <w:sz w:val="21"/>
                <w:szCs w:val="21"/>
                <w:u w:val="single"/>
                <w:lang w:val="en-US" w:eastAsia="zh-CN"/>
              </w:rPr>
              <w:t>1120.8886</w:t>
            </w:r>
            <w:r>
              <w:rPr>
                <w:rFonts w:hint="eastAsia" w:ascii="宋体" w:hAnsi="宋体" w:eastAsia="宋体" w:cs="宋体"/>
                <w:i w:val="0"/>
                <w:iCs w:val="0"/>
                <w:color w:val="auto"/>
                <w:spacing w:val="0"/>
                <w:sz w:val="21"/>
                <w:szCs w:val="21"/>
                <w:highlight w:val="none"/>
                <w:u w:val="single"/>
                <w:lang w:val="en-US" w:eastAsia="zh-CN"/>
              </w:rPr>
              <w:t xml:space="preserve"> </w:t>
            </w:r>
            <w:r>
              <w:rPr>
                <w:rFonts w:hint="eastAsia" w:ascii="宋体" w:hAnsi="宋体" w:eastAsia="宋体" w:cs="宋体"/>
                <w:i w:val="0"/>
                <w:iCs w:val="0"/>
                <w:color w:val="auto"/>
                <w:spacing w:val="0"/>
                <w:sz w:val="21"/>
                <w:szCs w:val="21"/>
                <w:highlight w:val="none"/>
              </w:rPr>
              <w:t>万元</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其中</w:t>
            </w:r>
            <w:r>
              <w:rPr>
                <w:rFonts w:hint="eastAsia" w:ascii="宋体" w:hAnsi="宋体" w:eastAsia="宋体" w:cs="宋体"/>
                <w:i w:val="0"/>
                <w:iCs w:val="0"/>
                <w:color w:val="auto"/>
                <w:spacing w:val="0"/>
                <w:sz w:val="21"/>
                <w:szCs w:val="21"/>
                <w:highlight w:val="none"/>
                <w:lang w:eastAsia="zh-CN"/>
              </w:rPr>
              <w:t>：</w:t>
            </w:r>
          </w:p>
          <w:p w14:paraId="36EE3D7A">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val="en-US" w:eastAsia="zh-CN"/>
              </w:rPr>
              <w:t>①</w:t>
            </w:r>
            <w:r>
              <w:rPr>
                <w:rFonts w:hint="eastAsia" w:ascii="宋体" w:hAnsi="宋体" w:eastAsia="宋体" w:cs="宋体"/>
                <w:i w:val="0"/>
                <w:iCs w:val="0"/>
                <w:color w:val="auto"/>
                <w:spacing w:val="0"/>
                <w:sz w:val="21"/>
                <w:szCs w:val="21"/>
                <w:highlight w:val="none"/>
              </w:rPr>
              <w:t>设计费限价</w:t>
            </w:r>
            <w:r>
              <w:rPr>
                <w:rFonts w:hint="eastAsia" w:ascii="宋体" w:hAnsi="宋体" w:eastAsia="宋体" w:cs="宋体"/>
                <w:i w:val="0"/>
                <w:iCs w:val="0"/>
                <w:color w:val="auto"/>
                <w:spacing w:val="0"/>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31.6433</w:t>
            </w:r>
            <w:r>
              <w:rPr>
                <w:rFonts w:hint="eastAsia" w:ascii="宋体" w:hAnsi="宋体" w:eastAsia="宋体" w:cs="宋体"/>
                <w:i w:val="0"/>
                <w:iCs w:val="0"/>
                <w:color w:val="auto"/>
                <w:spacing w:val="0"/>
                <w:sz w:val="21"/>
                <w:szCs w:val="21"/>
                <w:highlight w:val="none"/>
                <w:u w:val="single"/>
                <w:lang w:val="en-US" w:eastAsia="zh-CN"/>
              </w:rPr>
              <w:t xml:space="preserve"> </w:t>
            </w:r>
            <w:r>
              <w:rPr>
                <w:rFonts w:hint="eastAsia" w:ascii="宋体" w:hAnsi="宋体" w:eastAsia="宋体" w:cs="宋体"/>
                <w:i w:val="0"/>
                <w:iCs w:val="0"/>
                <w:color w:val="auto"/>
                <w:spacing w:val="0"/>
                <w:sz w:val="21"/>
                <w:szCs w:val="21"/>
                <w:highlight w:val="none"/>
              </w:rPr>
              <w:t>万元</w:t>
            </w:r>
            <w:r>
              <w:rPr>
                <w:rFonts w:hint="eastAsia" w:ascii="宋体" w:hAnsi="宋体" w:eastAsia="宋体" w:cs="宋体"/>
                <w:i w:val="0"/>
                <w:iCs w:val="0"/>
                <w:color w:val="auto"/>
                <w:spacing w:val="0"/>
                <w:sz w:val="21"/>
                <w:szCs w:val="21"/>
                <w:highlight w:val="none"/>
                <w:lang w:val="en-US" w:eastAsia="zh-CN"/>
              </w:rPr>
              <w:t>；</w:t>
            </w:r>
          </w:p>
          <w:p w14:paraId="5EDE7EB9">
            <w:pPr>
              <w:rPr>
                <w:rFonts w:hint="eastAsia"/>
                <w:color w:val="auto"/>
                <w:spacing w:val="-8"/>
                <w:highlight w:val="none"/>
              </w:rPr>
            </w:pPr>
            <w:r>
              <w:rPr>
                <w:rFonts w:hint="eastAsia" w:ascii="宋体" w:hAnsi="宋体" w:eastAsia="宋体" w:cs="宋体"/>
                <w:i w:val="0"/>
                <w:iCs w:val="0"/>
                <w:color w:val="auto"/>
                <w:spacing w:val="0"/>
                <w:sz w:val="21"/>
                <w:szCs w:val="21"/>
                <w:highlight w:val="none"/>
                <w:lang w:val="en-US" w:eastAsia="zh-CN"/>
              </w:rPr>
              <w:t>②建安</w:t>
            </w:r>
            <w:r>
              <w:rPr>
                <w:rFonts w:hint="eastAsia" w:ascii="宋体" w:hAnsi="宋体" w:eastAsia="宋体" w:cs="宋体"/>
                <w:i w:val="0"/>
                <w:iCs w:val="0"/>
                <w:color w:val="auto"/>
                <w:spacing w:val="0"/>
                <w:sz w:val="21"/>
                <w:szCs w:val="21"/>
                <w:highlight w:val="none"/>
              </w:rPr>
              <w:t>工程费限价</w:t>
            </w:r>
            <w:r>
              <w:rPr>
                <w:rFonts w:hint="eastAsia" w:ascii="宋体" w:hAnsi="宋体" w:eastAsia="宋体" w:cs="宋体"/>
                <w:color w:val="auto"/>
                <w:sz w:val="21"/>
                <w:szCs w:val="21"/>
                <w:highlight w:val="none"/>
                <w:u w:val="single"/>
                <w:lang w:val="en-US" w:eastAsia="zh-CN"/>
              </w:rPr>
              <w:t>1089.2453</w:t>
            </w:r>
            <w:r>
              <w:rPr>
                <w:rFonts w:hint="eastAsia" w:ascii="宋体" w:hAnsi="宋体" w:eastAsia="宋体" w:cs="宋体"/>
                <w:i w:val="0"/>
                <w:iCs w:val="0"/>
                <w:color w:val="auto"/>
                <w:spacing w:val="0"/>
                <w:sz w:val="21"/>
                <w:szCs w:val="21"/>
                <w:highlight w:val="none"/>
              </w:rPr>
              <w:t>万元</w:t>
            </w:r>
            <w:r>
              <w:rPr>
                <w:rFonts w:hint="eastAsia" w:ascii="宋体" w:hAnsi="宋体" w:eastAsia="宋体" w:cs="宋体"/>
                <w:i w:val="0"/>
                <w:iCs w:val="0"/>
                <w:color w:val="auto"/>
                <w:spacing w:val="0"/>
                <w:sz w:val="21"/>
                <w:szCs w:val="21"/>
                <w:highlight w:val="none"/>
                <w:lang w:eastAsia="zh-CN"/>
              </w:rPr>
              <w:t>（含设备购置费）</w:t>
            </w:r>
            <w:r>
              <w:rPr>
                <w:rFonts w:hint="eastAsia"/>
                <w:color w:val="auto"/>
                <w:spacing w:val="-8"/>
                <w:highlight w:val="none"/>
              </w:rPr>
              <w:t>其中</w:t>
            </w:r>
            <w:r>
              <w:rPr>
                <w:rFonts w:eastAsia="Times New Roman"/>
                <w:color w:val="auto"/>
                <w:spacing w:val="5"/>
                <w:highlight w:val="none"/>
              </w:rPr>
              <w:t>[</w:t>
            </w:r>
            <w:r>
              <w:rPr>
                <w:color w:val="auto"/>
                <w:highlight w:val="none"/>
              </w:rPr>
              <w:t>暂列金额</w:t>
            </w:r>
            <w:r>
              <w:rPr>
                <w:rFonts w:hint="eastAsia" w:ascii="宋体" w:hAnsi="宋体" w:eastAsia="宋体" w:cs="宋体"/>
                <w:color w:val="auto"/>
                <w:sz w:val="21"/>
                <w:szCs w:val="21"/>
                <w:highlight w:val="none"/>
                <w:u w:val="single"/>
                <w:lang w:val="en-US" w:eastAsia="zh-CN"/>
              </w:rPr>
              <w:t>53</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val="en-US" w:eastAsia="zh-CN"/>
              </w:rPr>
              <w:t>4100</w:t>
            </w:r>
            <w:r>
              <w:rPr>
                <w:color w:val="auto"/>
                <w:highlight w:val="none"/>
              </w:rPr>
              <w:t>万元（含税）、暂估价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r>
              <w:rPr>
                <w:color w:val="auto"/>
                <w:highlight w:val="none"/>
              </w:rPr>
              <w:t>万元（含税）报价时不予调整</w:t>
            </w:r>
            <w:r>
              <w:rPr>
                <w:rFonts w:eastAsia="Times New Roman"/>
                <w:color w:val="auto"/>
                <w:spacing w:val="2"/>
                <w:highlight w:val="none"/>
              </w:rPr>
              <w:t>]</w:t>
            </w:r>
            <w:r>
              <w:rPr>
                <w:color w:val="auto"/>
                <w:highlight w:val="none"/>
              </w:rPr>
              <w:t>；</w:t>
            </w:r>
          </w:p>
          <w:p w14:paraId="493AB2C9">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color w:val="auto"/>
                <w:sz w:val="21"/>
                <w:szCs w:val="21"/>
                <w:highlight w:val="none"/>
              </w:rPr>
              <w:t>注：任一项报价不得高于最高投标限价，否则作无效标处理。</w:t>
            </w:r>
          </w:p>
          <w:p w14:paraId="6A41D286">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2.最高投标限价在招标文件澄清或修改文件中发布；</w:t>
            </w:r>
          </w:p>
          <w:p w14:paraId="2AECDE8D">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□3.招标控制价人民币（大写</w:t>
            </w:r>
            <w:r>
              <w:rPr>
                <w:rFonts w:hint="eastAsia" w:ascii="宋体" w:hAnsi="宋体" w:eastAsia="宋体" w:cs="宋体"/>
                <w:i w:val="0"/>
                <w:iCs w:val="0"/>
                <w:color w:val="auto"/>
                <w:spacing w:val="0"/>
                <w:w w:val="97"/>
                <w:sz w:val="21"/>
                <w:szCs w:val="21"/>
                <w:highlight w:val="none"/>
              </w:rPr>
              <w:t>）：</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 暂列金额人民币（大写）：</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暂估价人民币（大写）：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 。最高投标限价的计算方法：最高投标限价=（招标控制价-暂列金额-暂估价） ×（1-下浮值）+暂列金额+暂估价，下浮值由招标人在开标时从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 等</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 xml:space="preserve">个数组成的 等差数列中随机抽取其中一值作为下浮值 ”的方式确定，投标报价不得超过最高限价。（招标人在编制招标文件时 从 </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 ……</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 xml:space="preserve"> %等</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个数中确定一组其中</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个数组成的等差数列）。</w:t>
            </w:r>
          </w:p>
          <w:p w14:paraId="24972B5F">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4.风险控制价；为防止投标人恶意低价竞标，最高投标限价的</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 xml:space="preserve"> %作为风险控制价（ </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 xml:space="preserve"> 万元）；</w:t>
            </w:r>
          </w:p>
          <w:p w14:paraId="602D57A6">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both"/>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0"/>
                <w:sz w:val="21"/>
                <w:szCs w:val="21"/>
                <w:highlight w:val="none"/>
              </w:rPr>
              <w:t>□5.其他：招标控制价</w:t>
            </w:r>
            <w:r>
              <w:rPr>
                <w:rFonts w:hint="eastAsia" w:ascii="宋体" w:hAnsi="宋体" w:eastAsia="宋体" w:cs="宋体"/>
                <w:i w:val="0"/>
                <w:iCs w:val="0"/>
                <w:color w:val="auto"/>
                <w:spacing w:val="0"/>
                <w:sz w:val="21"/>
                <w:szCs w:val="21"/>
                <w:highlight w:val="none"/>
                <w:u w:val="single"/>
              </w:rPr>
              <w:t xml:space="preserve">    </w:t>
            </w:r>
            <w:r>
              <w:rPr>
                <w:rFonts w:hint="eastAsia" w:ascii="宋体" w:hAnsi="宋体" w:eastAsia="宋体" w:cs="宋体"/>
                <w:i w:val="0"/>
                <w:iCs w:val="0"/>
                <w:color w:val="auto"/>
                <w:spacing w:val="0"/>
                <w:sz w:val="21"/>
                <w:szCs w:val="21"/>
                <w:highlight w:val="none"/>
              </w:rPr>
              <w:t>万元。</w:t>
            </w:r>
          </w:p>
        </w:tc>
      </w:tr>
      <w:tr w14:paraId="5A5D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9E01DA0">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3.2.5</w:t>
            </w:r>
          </w:p>
        </w:tc>
        <w:tc>
          <w:tcPr>
            <w:tcW w:w="2266" w:type="dxa"/>
            <w:noWrap w:val="0"/>
            <w:vAlign w:val="center"/>
          </w:tcPr>
          <w:p w14:paraId="7FB942D7">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auto"/>
              <w:outlineLvl w:val="9"/>
              <w:rPr>
                <w:rFonts w:hint="eastAsia" w:ascii="宋体" w:hAnsi="宋体" w:eastAsia="宋体" w:cs="宋体"/>
                <w:i w:val="0"/>
                <w:iCs w:val="0"/>
                <w:color w:val="000000"/>
                <w:sz w:val="21"/>
                <w:szCs w:val="21"/>
                <w:highlight w:val="none"/>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投标报价的其他要求</w:t>
            </w:r>
          </w:p>
        </w:tc>
        <w:tc>
          <w:tcPr>
            <w:tcW w:w="6518" w:type="dxa"/>
            <w:noWrap w:val="0"/>
            <w:vAlign w:val="center"/>
          </w:tcPr>
          <w:p w14:paraId="1F6FAFD7">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1.投标人可依据项目清单及招标文件中总承包所承担的工作范围和工作界面明确报价费用。</w:t>
            </w:r>
          </w:p>
          <w:p w14:paraId="413D9F54">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auto"/>
              <w:outlineLvl w:val="9"/>
              <w:rPr>
                <w:rFonts w:hint="eastAsia" w:ascii="宋体" w:hAnsi="宋体" w:eastAsia="宋体" w:cs="宋体"/>
                <w:b/>
                <w:i w:val="0"/>
                <w:iCs w:val="0"/>
                <w:snapToGrid w:val="0"/>
                <w:color w:val="000000"/>
                <w:sz w:val="21"/>
                <w:szCs w:val="21"/>
                <w:highlight w:val="none"/>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2.其他：</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u w:val="single"/>
                <w:lang w:val="en-US" w:eastAsia="zh-CN"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 xml:space="preserve"> 。</w:t>
            </w:r>
          </w:p>
        </w:tc>
      </w:tr>
      <w:tr w14:paraId="14843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2FCF560">
            <w:pPr>
              <w:pStyle w:val="42"/>
              <w:keepNext w:val="0"/>
              <w:keepLines w:val="0"/>
              <w:pageBreakBefore w:val="0"/>
              <w:kinsoku/>
              <w:wordWrap/>
              <w:overflowPunct/>
              <w:topLinePunct w:val="0"/>
              <w:bidi w:val="0"/>
              <w:adjustRightInd/>
              <w:snapToGrid/>
              <w:spacing w:line="240" w:lineRule="auto"/>
              <w:jc w:val="center"/>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3.3.1</w:t>
            </w:r>
          </w:p>
        </w:tc>
        <w:tc>
          <w:tcPr>
            <w:tcW w:w="2266" w:type="dxa"/>
            <w:noWrap w:val="0"/>
            <w:vAlign w:val="center"/>
          </w:tcPr>
          <w:p w14:paraId="06EA0228">
            <w:pPr>
              <w:pStyle w:val="42"/>
              <w:keepNext w:val="0"/>
              <w:keepLines w:val="0"/>
              <w:pageBreakBefore w:val="0"/>
              <w:kinsoku/>
              <w:wordWrap/>
              <w:overflowPunct/>
              <w:topLinePunct w:val="0"/>
              <w:bidi w:val="0"/>
              <w:adjustRightInd/>
              <w:snapToGrid/>
              <w:spacing w:line="240" w:lineRule="auto"/>
              <w:ind w:right="0" w:rightChars="0"/>
              <w:jc w:val="center"/>
              <w:rPr>
                <w:rFonts w:hint="eastAsia" w:ascii="宋体" w:hAnsi="宋体" w:eastAsia="宋体" w:cs="宋体"/>
                <w:i w:val="0"/>
                <w:iCs w:val="0"/>
                <w:color w:val="000000"/>
                <w:sz w:val="21"/>
                <w:szCs w:val="21"/>
                <w:highlight w:val="none"/>
              </w:rPr>
            </w:pPr>
            <w:r>
              <w:rPr>
                <w:rFonts w:hint="eastAsia" w:ascii="宋体" w:hAnsi="宋体" w:eastAsia="宋体" w:cs="宋体"/>
                <w:i w:val="0"/>
                <w:iCs w:val="0"/>
                <w:color w:val="auto"/>
                <w:sz w:val="21"/>
                <w:szCs w:val="21"/>
                <w:highlight w:val="none"/>
              </w:rPr>
              <w:t>投标有效期</w:t>
            </w:r>
          </w:p>
        </w:tc>
        <w:tc>
          <w:tcPr>
            <w:tcW w:w="6518" w:type="dxa"/>
            <w:noWrap w:val="0"/>
            <w:vAlign w:val="center"/>
          </w:tcPr>
          <w:p w14:paraId="1FBE72F8">
            <w:pPr>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snapToGrid w:val="0"/>
                <w:color w:val="000000"/>
                <w:spacing w:val="9"/>
                <w:kern w:val="0"/>
                <w:sz w:val="21"/>
                <w:szCs w:val="21"/>
                <w:highlight w:val="none"/>
                <w:lang w:val="en-US" w:eastAsia="zh-CN" w:bidi="ar-SA"/>
              </w:rPr>
            </w:pPr>
            <w:r>
              <w:rPr>
                <w:rFonts w:hint="eastAsia" w:ascii="宋体" w:hAnsi="宋体" w:cs="宋体"/>
                <w:i w:val="0"/>
                <w:iCs w:val="0"/>
                <w:color w:val="auto"/>
                <w:sz w:val="21"/>
                <w:szCs w:val="21"/>
                <w:highlight w:val="none"/>
                <w:u w:val="single"/>
                <w:lang w:val="en-US" w:eastAsia="zh-CN"/>
              </w:rPr>
              <w:t>9</w:t>
            </w:r>
            <w:r>
              <w:rPr>
                <w:rFonts w:hint="eastAsia" w:ascii="宋体" w:hAnsi="宋体" w:eastAsia="宋体" w:cs="宋体"/>
                <w:i w:val="0"/>
                <w:iCs w:val="0"/>
                <w:color w:val="auto"/>
                <w:sz w:val="21"/>
                <w:szCs w:val="21"/>
                <w:highlight w:val="none"/>
                <w:u w:val="single"/>
                <w:lang w:val="en-US" w:eastAsia="zh-CN"/>
              </w:rPr>
              <w:t>0</w:t>
            </w:r>
            <w:r>
              <w:rPr>
                <w:rFonts w:hint="eastAsia" w:ascii="宋体" w:hAnsi="宋体" w:eastAsia="宋体" w:cs="宋体"/>
                <w:i w:val="0"/>
                <w:iCs w:val="0"/>
                <w:color w:val="auto"/>
                <w:sz w:val="21"/>
                <w:szCs w:val="21"/>
                <w:highlight w:val="none"/>
              </w:rPr>
              <w:t>日历天（从投标截止之日起算）。</w:t>
            </w:r>
          </w:p>
        </w:tc>
      </w:tr>
      <w:tr w14:paraId="79F3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90F738F">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3.4.1</w:t>
            </w:r>
          </w:p>
        </w:tc>
        <w:tc>
          <w:tcPr>
            <w:tcW w:w="2266" w:type="dxa"/>
            <w:noWrap w:val="0"/>
            <w:vAlign w:val="center"/>
          </w:tcPr>
          <w:p w14:paraId="60BB8572">
            <w:pPr>
              <w:pStyle w:val="42"/>
              <w:keepNext w:val="0"/>
              <w:keepLines w:val="0"/>
              <w:pageBreakBefore w:val="0"/>
              <w:kinsoku/>
              <w:wordWrap/>
              <w:overflowPunct/>
              <w:topLinePunct w:val="0"/>
              <w:bidi w:val="0"/>
              <w:adjustRightInd/>
              <w:snapToGrid/>
              <w:spacing w:line="240" w:lineRule="auto"/>
              <w:ind w:right="0" w:rightChars="0"/>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投标保证金</w:t>
            </w:r>
          </w:p>
        </w:tc>
        <w:tc>
          <w:tcPr>
            <w:tcW w:w="6518" w:type="dxa"/>
            <w:noWrap w:val="0"/>
            <w:vAlign w:val="center"/>
          </w:tcPr>
          <w:p w14:paraId="1B5E3BEC">
            <w:pPr>
              <w:keepNext w:val="0"/>
              <w:keepLines w:val="0"/>
              <w:pageBreakBefore w:val="0"/>
              <w:widowControl/>
              <w:shd w:val="clear" w:color="auto" w:fill="auto"/>
              <w:tabs>
                <w:tab w:val="right" w:leader="dot" w:pos="8295"/>
              </w:tabs>
              <w:kinsoku/>
              <w:wordWrap/>
              <w:overflowPunct/>
              <w:topLinePunct w:val="0"/>
              <w:bidi w:val="0"/>
              <w:adjustRightInd/>
              <w:snapToGrid/>
              <w:spacing w:line="240" w:lineRule="auto"/>
              <w:ind w:firstLine="420" w:firstLineChars="200"/>
              <w:jc w:val="both"/>
              <w:rPr>
                <w:rFonts w:hint="eastAsia" w:ascii="宋体" w:hAnsi="宋体" w:cs="宋体"/>
                <w:i w:val="0"/>
                <w:iCs w:val="0"/>
                <w:color w:val="auto"/>
                <w:kern w:val="0"/>
                <w:sz w:val="21"/>
                <w:szCs w:val="21"/>
                <w:highlight w:val="none"/>
                <w:shd w:val="clear" w:color="auto" w:fill="auto"/>
                <w:lang w:val="en-US" w:eastAsia="zh-CN"/>
              </w:rPr>
            </w:pPr>
            <w:r>
              <w:rPr>
                <w:rFonts w:hint="eastAsia" w:ascii="宋体" w:hAnsi="宋体" w:cs="宋体"/>
                <w:i w:val="0"/>
                <w:iCs w:val="0"/>
                <w:color w:val="auto"/>
                <w:kern w:val="0"/>
                <w:sz w:val="21"/>
                <w:szCs w:val="21"/>
                <w:highlight w:val="none"/>
                <w:shd w:val="clear" w:color="auto" w:fill="auto"/>
                <w:lang w:eastAsia="zh-CN"/>
              </w:rPr>
              <w:t>一、金额：人民币</w:t>
            </w:r>
            <w:r>
              <w:rPr>
                <w:rFonts w:hint="eastAsia" w:ascii="宋体" w:hAnsi="宋体" w:cs="宋体"/>
                <w:i w:val="0"/>
                <w:iCs w:val="0"/>
                <w:color w:val="auto"/>
                <w:kern w:val="0"/>
                <w:sz w:val="21"/>
                <w:szCs w:val="21"/>
                <w:highlight w:val="none"/>
                <w:u w:val="single"/>
                <w:shd w:val="clear" w:color="auto" w:fill="auto"/>
                <w:lang w:val="en-US" w:eastAsia="zh-CN"/>
              </w:rPr>
              <w:t xml:space="preserve"> 贰拾 </w:t>
            </w:r>
            <w:r>
              <w:rPr>
                <w:rFonts w:hint="eastAsia" w:ascii="宋体" w:hAnsi="宋体" w:cs="宋体"/>
                <w:i w:val="0"/>
                <w:iCs w:val="0"/>
                <w:color w:val="auto"/>
                <w:kern w:val="0"/>
                <w:sz w:val="21"/>
                <w:szCs w:val="21"/>
                <w:highlight w:val="none"/>
                <w:shd w:val="clear" w:color="auto" w:fill="auto"/>
                <w:lang w:eastAsia="zh-CN"/>
              </w:rPr>
              <w:t>万元（不得超过项目估算价的2%，且最高不得超过50万元。）</w:t>
            </w:r>
          </w:p>
          <w:p w14:paraId="750EAEEC">
            <w:pPr>
              <w:keepNext w:val="0"/>
              <w:keepLines w:val="0"/>
              <w:pageBreakBefore w:val="0"/>
              <w:widowControl/>
              <w:shd w:val="clear" w:color="000000" w:fill="auto"/>
              <w:tabs>
                <w:tab w:val="right" w:leader="dot" w:pos="8295"/>
              </w:tabs>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投标保证金专户信息如下：  </w:t>
            </w:r>
          </w:p>
          <w:p w14:paraId="1ECEBC0A">
            <w:pPr>
              <w:keepNext w:val="0"/>
              <w:keepLines w:val="0"/>
              <w:pageBreakBefore w:val="0"/>
              <w:widowControl/>
              <w:shd w:val="clear" w:color="000000" w:fill="auto"/>
              <w:tabs>
                <w:tab w:val="right" w:leader="dot" w:pos="8295"/>
              </w:tabs>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账  号：按系统随机分配账号。</w:t>
            </w:r>
          </w:p>
          <w:p w14:paraId="4BD5BC06">
            <w:pPr>
              <w:keepNext w:val="0"/>
              <w:keepLines w:val="0"/>
              <w:pageBreakBefore w:val="0"/>
              <w:widowControl/>
              <w:shd w:val="clear" w:color="000000" w:fill="auto"/>
              <w:tabs>
                <w:tab w:val="right" w:leader="dot" w:pos="8295"/>
              </w:tabs>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缴纳时间：投标截止时间前，以衢州市公共资源电子交易系统确认到账为准（因各银行系统到账时间不同，请提前交纳，否则后果自负）。</w:t>
            </w:r>
          </w:p>
          <w:p w14:paraId="30E65D05">
            <w:pPr>
              <w:keepNext w:val="0"/>
              <w:keepLines w:val="0"/>
              <w:pageBreakBefore w:val="0"/>
              <w:widowControl/>
              <w:shd w:val="clear" w:color="000000" w:fill="auto"/>
              <w:tabs>
                <w:tab w:val="right" w:leader="dot" w:pos="8295"/>
              </w:tabs>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eastAsia="宋体" w:cs="宋体"/>
                <w:i w:val="0"/>
                <w:iCs w:val="0"/>
                <w:color w:val="auto"/>
                <w:kern w:val="0"/>
                <w:sz w:val="21"/>
                <w:szCs w:val="21"/>
                <w:highlight w:val="none"/>
                <w:shd w:val="clear" w:color="auto" w:fill="auto"/>
              </w:rPr>
            </w:pPr>
            <w:r>
              <w:rPr>
                <w:rFonts w:hint="eastAsia" w:ascii="宋体" w:hAnsi="宋体" w:eastAsia="宋体" w:cs="宋体"/>
                <w:i w:val="0"/>
                <w:iCs w:val="0"/>
                <w:color w:val="auto"/>
                <w:kern w:val="0"/>
                <w:sz w:val="21"/>
                <w:szCs w:val="21"/>
                <w:highlight w:val="none"/>
                <w:shd w:val="clear" w:color="auto" w:fill="auto"/>
              </w:rPr>
              <w:t>二、缴纳方式</w:t>
            </w:r>
          </w:p>
          <w:p w14:paraId="46DE8A78">
            <w:pPr>
              <w:spacing w:line="300" w:lineRule="exact"/>
              <w:ind w:firstLine="420" w:firstLineChars="200"/>
              <w:jc w:val="left"/>
              <w:rPr>
                <w:rFonts w:ascii="宋体" w:hAnsi="宋体" w:eastAsia="宋体" w:cs="宋体"/>
                <w:b w:val="0"/>
                <w:bCs w:val="0"/>
                <w:color w:val="auto"/>
                <w:szCs w:val="21"/>
              </w:rPr>
            </w:pPr>
            <w:r>
              <w:rPr>
                <w:rFonts w:hint="eastAsia" w:ascii="宋体" w:hAnsi="宋体" w:eastAsia="宋体" w:cs="宋体"/>
                <w:b w:val="0"/>
                <w:bCs w:val="0"/>
                <w:color w:val="auto"/>
                <w:szCs w:val="21"/>
              </w:rPr>
              <w:t>投标人登录衢州市公共资源电子交易系统--“我的项目”--“项目流程”--“投标保证金”模块：</w:t>
            </w:r>
          </w:p>
          <w:p w14:paraId="2853E0CC">
            <w:pPr>
              <w:spacing w:line="300" w:lineRule="exact"/>
              <w:jc w:val="left"/>
              <w:rPr>
                <w:rFonts w:ascii="宋体" w:hAnsi="宋体" w:eastAsia="宋体" w:cs="宋体"/>
                <w:b w:val="0"/>
                <w:bCs w:val="0"/>
                <w:color w:val="auto"/>
                <w:szCs w:val="21"/>
              </w:rPr>
            </w:pPr>
            <w:r>
              <w:rPr>
                <w:rFonts w:hint="eastAsia" w:ascii="宋体" w:hAnsi="宋体" w:eastAsia="宋体" w:cs="宋体"/>
                <w:b w:val="0"/>
                <w:bCs w:val="0"/>
                <w:color w:val="auto"/>
                <w:szCs w:val="21"/>
              </w:rPr>
              <w:t>缴纳方式之一（按项目在线支付）：通过网银（电汇）方式，从经系统备案的银行基本账户汇出，足额缴纳。</w:t>
            </w:r>
          </w:p>
          <w:p w14:paraId="70016462">
            <w:pPr>
              <w:spacing w:line="300" w:lineRule="exact"/>
              <w:jc w:val="left"/>
              <w:rPr>
                <w:rFonts w:ascii="宋体" w:hAnsi="宋体" w:eastAsia="宋体" w:cs="宋体"/>
                <w:b w:val="0"/>
                <w:bCs w:val="0"/>
                <w:color w:val="auto"/>
                <w:szCs w:val="21"/>
              </w:rPr>
            </w:pPr>
            <w:r>
              <w:rPr>
                <w:rFonts w:hint="eastAsia" w:ascii="宋体" w:hAnsi="宋体" w:eastAsia="宋体" w:cs="宋体"/>
                <w:b w:val="0"/>
                <w:bCs w:val="0"/>
                <w:color w:val="auto"/>
                <w:szCs w:val="21"/>
              </w:rPr>
              <w:t>缴纳方式之二（年保金支付）：保证金年保金单位交纳年金额大于等于本工程规定投标保证金额的可以选择“年金保证金”功能，按标段应缴金额自动扣除已交年保金数额。年保金小于项目投标保证金，请按“缴纳方式一”全额在线支付或按缴纳方式三或缴纳方式四办理有效投标保证金。</w:t>
            </w:r>
          </w:p>
          <w:p w14:paraId="2D27C76E">
            <w:pPr>
              <w:spacing w:line="300" w:lineRule="exact"/>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rPr>
              <w:t>投标人按《关于在全省工程建设领域改革保证金制度的通知》（浙建〔2020〕7号）办理的工程投标保函（包括银行保函、保险机构保证保险保单、融资担保公司保函）为本项目有效投标保证金。</w:t>
            </w:r>
          </w:p>
          <w:p w14:paraId="7E5E4D35">
            <w:pPr>
              <w:spacing w:line="300" w:lineRule="exact"/>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rPr>
              <w:t>缴纳方式之三（电子保函）：登录建设工程投标保证保险“电子保函平台”，按系统提示完成购买。</w:t>
            </w:r>
          </w:p>
          <w:p w14:paraId="25652BC3">
            <w:pPr>
              <w:spacing w:line="300" w:lineRule="exact"/>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rPr>
              <w:t>特别注意：提供工程保函（包括银行保函、保险机构保证保险保单、融资担保公司保函）为投标保证金的，其工程投标保函应符合以下要求：</w:t>
            </w:r>
          </w:p>
          <w:p w14:paraId="355E8969">
            <w:pPr>
              <w:spacing w:line="300" w:lineRule="exact"/>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rPr>
              <w:t>1）投标保函担保的项目与投标的项目一致；</w:t>
            </w:r>
          </w:p>
          <w:p w14:paraId="0FC39717">
            <w:pPr>
              <w:spacing w:line="300" w:lineRule="exact"/>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rPr>
              <w:t>2）担保的金额不小于招标文件中所确定的投标保证金额度；</w:t>
            </w:r>
          </w:p>
          <w:p w14:paraId="56BCC09D">
            <w:pPr>
              <w:spacing w:line="300" w:lineRule="exact"/>
              <w:rPr>
                <w:rFonts w:hint="eastAsia" w:ascii="宋体" w:hAnsi="宋体" w:eastAsia="宋体" w:cs="宋体"/>
                <w:b w:val="0"/>
                <w:bCs w:val="0"/>
                <w:color w:val="auto"/>
                <w:szCs w:val="21"/>
              </w:rPr>
            </w:pPr>
            <w:r>
              <w:rPr>
                <w:rFonts w:hint="eastAsia" w:ascii="宋体" w:hAnsi="宋体" w:eastAsia="宋体" w:cs="宋体"/>
                <w:b w:val="0"/>
                <w:bCs w:val="0"/>
                <w:color w:val="auto"/>
                <w:szCs w:val="21"/>
              </w:rPr>
              <w:t>3）投标保函应处于有效期限内，且有效期不短于投标有效期。</w:t>
            </w:r>
          </w:p>
          <w:p w14:paraId="491D4F62">
            <w:pPr>
              <w:spacing w:line="300" w:lineRule="exact"/>
              <w:rPr>
                <w:rFonts w:hint="eastAsia" w:ascii="宋体" w:hAnsi="宋体" w:eastAsia="宋体" w:cs="宋体"/>
                <w:b w:val="0"/>
                <w:bCs w:val="0"/>
                <w:color w:val="auto"/>
                <w:szCs w:val="21"/>
              </w:rPr>
            </w:pPr>
            <w:r>
              <w:rPr>
                <w:rFonts w:hint="eastAsia" w:ascii="宋体" w:hAnsi="宋体" w:eastAsia="宋体" w:cs="宋体"/>
                <w:b w:val="0"/>
                <w:bCs w:val="0"/>
                <w:color w:val="auto"/>
                <w:szCs w:val="21"/>
              </w:rPr>
              <w:t>缴纳方式之四：年联保支付（线下确认）。</w:t>
            </w:r>
            <w:r>
              <w:rPr>
                <w:rFonts w:hint="eastAsia" w:ascii="宋体" w:hAnsi="宋体" w:eastAsia="宋体" w:cs="宋体"/>
                <w:b w:val="0"/>
                <w:bCs w:val="0"/>
                <w:color w:val="auto"/>
                <w:szCs w:val="21"/>
                <w:lang w:eastAsia="zh-CN"/>
              </w:rPr>
              <w:t>详情请咨询：</w:t>
            </w:r>
            <w:r>
              <w:rPr>
                <w:rFonts w:hint="eastAsia" w:ascii="宋体" w:hAnsi="宋体" w:eastAsia="宋体" w:cs="宋体"/>
                <w:b w:val="0"/>
                <w:bCs w:val="0"/>
                <w:color w:val="auto"/>
                <w:szCs w:val="21"/>
                <w:lang w:val="en-US" w:eastAsia="zh-CN"/>
              </w:rPr>
              <w:t>0570-8757610（衢州市招标投标协会）</w:t>
            </w:r>
          </w:p>
          <w:p w14:paraId="2438EB2C">
            <w:pPr>
              <w:keepNext w:val="0"/>
              <w:keepLines w:val="0"/>
              <w:pageBreakBefore w:val="0"/>
              <w:kinsoku/>
              <w:wordWrap/>
              <w:overflowPunct/>
              <w:topLinePunct w:val="0"/>
              <w:bidi w:val="0"/>
              <w:adjustRightInd/>
              <w:snapToGrid/>
              <w:spacing w:line="240" w:lineRule="auto"/>
              <w:ind w:firstLine="420" w:firstLineChars="200"/>
              <w:rPr>
                <w:rFonts w:hint="eastAsia" w:ascii="宋体" w:hAnsi="宋体" w:eastAsia="宋体" w:cs="宋体"/>
                <w:b w:val="0"/>
                <w:bCs w:val="0"/>
                <w:color w:val="auto"/>
                <w:szCs w:val="21"/>
              </w:rPr>
            </w:pPr>
            <w:r>
              <w:rPr>
                <w:rFonts w:hint="eastAsia" w:ascii="宋体" w:hAnsi="宋体" w:eastAsia="宋体" w:cs="宋体"/>
                <w:b w:val="0"/>
                <w:bCs w:val="0"/>
                <w:color w:val="auto"/>
                <w:szCs w:val="21"/>
              </w:rPr>
              <w:t>注：如开标前一日电子保函平台临时出现故障且在投标截止时间前无法修复的，经相关部门核实确认后，投标人可提供线下保函，视同有效。</w:t>
            </w:r>
          </w:p>
          <w:p w14:paraId="3EE20212">
            <w:pPr>
              <w:keepNext w:val="0"/>
              <w:keepLines w:val="0"/>
              <w:pageBreakBefore w:val="0"/>
              <w:kinsoku/>
              <w:wordWrap/>
              <w:overflowPunct/>
              <w:topLinePunct w:val="0"/>
              <w:bidi w:val="0"/>
              <w:adjustRightInd/>
              <w:snapToGrid/>
              <w:spacing w:line="240" w:lineRule="auto"/>
              <w:ind w:firstLine="420" w:firstLineChars="200"/>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shd w:val="clear" w:color="auto" w:fill="auto"/>
              </w:rPr>
              <w:t>投标人如有违反法律法规、招标文件和其他相关规定，作不予退还投标保证金处理的，保函出具机构收到《不予退还投标保证金通知单》后5个工作日内将投标保证金担保赔偿款汇入监管办投标保证金专户。</w:t>
            </w:r>
          </w:p>
          <w:p w14:paraId="1D962237">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备注：重新招标项目，参与投标的投标人仍需按上述规定要求重新递交投标保证金。</w:t>
            </w:r>
            <w:r>
              <w:rPr>
                <w:rFonts w:hint="eastAsia" w:ascii="宋体" w:hAnsi="宋体" w:eastAsia="宋体" w:cs="宋体"/>
                <w:b/>
                <w:bCs/>
                <w:i w:val="0"/>
                <w:iCs w:val="0"/>
                <w:color w:val="000000" w:themeColor="text1"/>
                <w:spacing w:val="0"/>
                <w:sz w:val="21"/>
                <w:szCs w:val="21"/>
                <w:highlight w:val="none"/>
                <w:lang w:eastAsia="zh-CN"/>
                <w14:textFill>
                  <w14:solidFill>
                    <w14:schemeClr w14:val="tx1"/>
                  </w14:solidFill>
                </w14:textFill>
              </w:rPr>
              <w:t>如联合体投标的，其投标保证金由牵头人递交。</w:t>
            </w:r>
          </w:p>
        </w:tc>
      </w:tr>
      <w:tr w14:paraId="0A07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00746C45">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3.4.</w:t>
            </w:r>
            <w:r>
              <w:rPr>
                <w:rFonts w:hint="eastAsia" w:ascii="宋体" w:hAnsi="宋体" w:cs="宋体"/>
                <w:i w:val="0"/>
                <w:iCs w:val="0"/>
                <w:color w:val="auto"/>
                <w:sz w:val="21"/>
                <w:szCs w:val="21"/>
                <w:highlight w:val="none"/>
                <w:lang w:val="en-US" w:eastAsia="zh-CN"/>
              </w:rPr>
              <w:t>3</w:t>
            </w:r>
          </w:p>
        </w:tc>
        <w:tc>
          <w:tcPr>
            <w:tcW w:w="2266" w:type="dxa"/>
            <w:noWrap w:val="0"/>
            <w:vAlign w:val="center"/>
          </w:tcPr>
          <w:p w14:paraId="3C7C26DC">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其他可以不予退还投标保证金的情形</w:t>
            </w:r>
          </w:p>
        </w:tc>
        <w:tc>
          <w:tcPr>
            <w:tcW w:w="6518" w:type="dxa"/>
            <w:noWrap w:val="0"/>
            <w:vAlign w:val="center"/>
          </w:tcPr>
          <w:p w14:paraId="4CBB4A3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1.经查实，投标人在投标过程中存在串通投标或弄虚作假的。</w:t>
            </w:r>
          </w:p>
          <w:p w14:paraId="0C546AE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2.拟派项目负责人或施工负责人在投标截止日有在其他在建合同工程上担任工程总承包项目负责人、施工负责人（含工程总承包项目中担任施工负责人）的情形。</w:t>
            </w:r>
          </w:p>
          <w:p w14:paraId="7537506A">
            <w:pPr>
              <w:pStyle w:val="42"/>
              <w:keepNext w:val="0"/>
              <w:keepLines w:val="0"/>
              <w:pageBreakBefore w:val="0"/>
              <w:kinsoku/>
              <w:wordWrap/>
              <w:overflowPunct/>
              <w:topLinePunct w:val="0"/>
              <w:autoSpaceDE/>
              <w:autoSpaceDN/>
              <w:bidi w:val="0"/>
              <w:snapToGrid w:val="0"/>
              <w:spacing w:line="240" w:lineRule="auto"/>
              <w:jc w:val="both"/>
              <w:textAlignment w:val="auto"/>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3.其他：</w:t>
            </w:r>
            <w:r>
              <w:rPr>
                <w:rFonts w:hint="eastAsia" w:ascii="宋体" w:hAnsi="宋体" w:cs="宋体"/>
                <w:i w:val="0"/>
                <w:i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 xml:space="preserve">  </w:t>
            </w:r>
          </w:p>
          <w:p w14:paraId="06BBF7FB">
            <w:pPr>
              <w:pStyle w:val="9"/>
              <w:keepNext w:val="0"/>
              <w:keepLines w:val="0"/>
              <w:pageBreakBefore w:val="0"/>
              <w:widowControl w:val="0"/>
              <w:kinsoku/>
              <w:wordWrap w:val="0"/>
              <w:overflowPunct/>
              <w:topLinePunct w:val="0"/>
              <w:autoSpaceDE/>
              <w:autoSpaceDN/>
              <w:bidi w:val="0"/>
              <w:snapToGrid/>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注：本招标文件的“投标保证金不予退还 ”是指：</w:t>
            </w:r>
          </w:p>
          <w:p w14:paraId="0BCDADB0">
            <w:pPr>
              <w:pStyle w:val="9"/>
              <w:keepNext w:val="0"/>
              <w:keepLines w:val="0"/>
              <w:pageBreakBefore w:val="0"/>
              <w:widowControl w:val="0"/>
              <w:kinsoku/>
              <w:wordWrap w:val="0"/>
              <w:overflowPunct/>
              <w:topLinePunct w:val="0"/>
              <w:autoSpaceDE/>
              <w:autoSpaceDN/>
              <w:bidi w:val="0"/>
              <w:snapToGrid/>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（1）以现金转账形式，转账现金不予退还。</w:t>
            </w:r>
          </w:p>
          <w:p w14:paraId="61C7191A">
            <w:pPr>
              <w:pStyle w:val="9"/>
              <w:keepNext w:val="0"/>
              <w:keepLines w:val="0"/>
              <w:pageBreakBefore w:val="0"/>
              <w:widowControl w:val="0"/>
              <w:kinsoku/>
              <w:wordWrap w:val="0"/>
              <w:overflowPunct/>
              <w:topLinePunct w:val="0"/>
              <w:autoSpaceDE/>
              <w:autoSpaceDN/>
              <w:bidi w:val="0"/>
              <w:snapToGrid/>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（2）以银行保函形式，招标人作为受益人向银行提起索赔。</w:t>
            </w:r>
          </w:p>
          <w:p w14:paraId="3FB3D37E">
            <w:pPr>
              <w:pStyle w:val="9"/>
              <w:keepNext w:val="0"/>
              <w:keepLines w:val="0"/>
              <w:pageBreakBefore w:val="0"/>
              <w:widowControl w:val="0"/>
              <w:kinsoku/>
              <w:wordWrap w:val="0"/>
              <w:overflowPunct/>
              <w:topLinePunct w:val="0"/>
              <w:autoSpaceDE/>
              <w:autoSpaceDN/>
              <w:bidi w:val="0"/>
              <w:snapToGrid/>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（3）以保证保险形式，招标人作为被保险人（受益人）向保险人提起索赔。</w:t>
            </w:r>
          </w:p>
          <w:p w14:paraId="73C7949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spacing w:val="-3"/>
                <w:sz w:val="21"/>
                <w:szCs w:val="21"/>
                <w:lang w:eastAsia="zh-CN"/>
              </w:rPr>
              <w:t>（4）以担保公司担保形式，招标人作为受益人向担保人提起索赔。</w:t>
            </w:r>
          </w:p>
        </w:tc>
      </w:tr>
      <w:tr w14:paraId="2A71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52C32F8D">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3.5</w:t>
            </w:r>
          </w:p>
        </w:tc>
        <w:tc>
          <w:tcPr>
            <w:tcW w:w="2266" w:type="dxa"/>
            <w:noWrap w:val="0"/>
            <w:vAlign w:val="top"/>
          </w:tcPr>
          <w:p w14:paraId="64B27CF9">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68A09E0">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50D3C71">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7ACC4C0">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56544F91">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3938DDE8">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844FC37">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0B13B50">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04A72971">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E3CB61D">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5C4C749C">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5B143487">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4663A755">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59C05627">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p>
          <w:p w14:paraId="57F2AE0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w:t>
            </w:r>
          </w:p>
          <w:p w14:paraId="12A4204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招标文件资</w:t>
            </w:r>
          </w:p>
          <w:p w14:paraId="5E66B1D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color w:val="auto"/>
                <w:sz w:val="21"/>
                <w:szCs w:val="21"/>
                <w:highlight w:val="none"/>
              </w:rPr>
              <w:t>料</w:t>
            </w:r>
          </w:p>
        </w:tc>
        <w:tc>
          <w:tcPr>
            <w:tcW w:w="6518" w:type="dxa"/>
            <w:noWrap w:val="0"/>
            <w:vAlign w:val="top"/>
          </w:tcPr>
          <w:p w14:paraId="4DE97944">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1.企业法人营业执照；</w:t>
            </w:r>
          </w:p>
          <w:p w14:paraId="4CD3A587">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en-US"/>
              </w:rPr>
              <w:t>2.法定代表人授权委托书（投标文件委托代理人签字的提供）；</w:t>
            </w:r>
          </w:p>
          <w:p w14:paraId="1AE10FCD">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3.联合体各方签订的联合体协议书（联合体投标的提供）；</w:t>
            </w:r>
          </w:p>
          <w:p w14:paraId="12EA8674">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4.建设行政部门核发的资质证书</w:t>
            </w:r>
            <w:r>
              <w:rPr>
                <w:rFonts w:hint="eastAsia" w:ascii="宋体" w:hAnsi="宋体" w:eastAsia="宋体" w:cs="宋体"/>
                <w:color w:val="auto"/>
                <w:sz w:val="21"/>
                <w:szCs w:val="21"/>
                <w:highlight w:val="none"/>
                <w:lang w:val="en-US" w:eastAsia="zh-CN"/>
              </w:rPr>
              <w:t>；</w:t>
            </w:r>
          </w:p>
          <w:p w14:paraId="3450DBF0">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5.企业安全生产许可证；法定代表人、企业经理、企业分管安全生产的副经理、企业技术负责人的安全生产考核合格证书，企业经理、企业分管安全生产的副经理、企业技术负责人的任命书（</w:t>
            </w:r>
            <w:r>
              <w:rPr>
                <w:rFonts w:hint="eastAsia" w:ascii="宋体" w:hAnsi="宋体" w:eastAsia="宋体" w:cs="宋体"/>
                <w:color w:val="auto"/>
                <w:sz w:val="21"/>
                <w:szCs w:val="21"/>
                <w:highlight w:val="none"/>
                <w:lang w:eastAsia="zh-CN"/>
              </w:rPr>
              <w:t>联合体投标的，承担施工工作的所有联合体成员均需提供</w:t>
            </w:r>
            <w:r>
              <w:rPr>
                <w:rFonts w:hint="eastAsia" w:ascii="宋体" w:hAnsi="宋体" w:eastAsia="宋体" w:cs="宋体"/>
                <w:color w:val="auto"/>
                <w:sz w:val="21"/>
                <w:szCs w:val="21"/>
                <w:highlight w:val="none"/>
              </w:rPr>
              <w:t>）。</w:t>
            </w:r>
          </w:p>
          <w:p w14:paraId="7B973C1A">
            <w:pPr>
              <w:pStyle w:val="43"/>
              <w:keepNext w:val="0"/>
              <w:keepLines w:val="0"/>
              <w:pageBreakBefore w:val="0"/>
              <w:widowControl/>
              <w:kinsoku/>
              <w:wordWrap/>
              <w:overflowPunct/>
              <w:topLinePunct w:val="0"/>
              <w:autoSpaceDE/>
              <w:autoSpaceDN/>
              <w:bidi w:val="0"/>
              <w:adjustRightInd w:val="0"/>
              <w:snapToGrid w:val="0"/>
              <w:spacing w:line="240" w:lineRule="auto"/>
              <w:ind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提供投标人自招标公告发布之日至投标截止日之间任意一次在“浙江省建筑市场监管公共服务系统”上，参与投标资质的“资质动态核查结果证明”的。</w:t>
            </w:r>
          </w:p>
          <w:p w14:paraId="7838D37E">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□《中小企业声明函》（面向中小企业招标的，投标人或联合体中的中小企业需提供）</w:t>
            </w:r>
          </w:p>
          <w:p w14:paraId="7A6A9F65">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6.施工负责人（建造师）的安全生产考核合格证书（</w:t>
            </w:r>
            <w:r>
              <w:rPr>
                <w:rFonts w:hint="eastAsia" w:ascii="宋体" w:hAnsi="宋体" w:eastAsia="宋体" w:cs="宋体"/>
                <w:color w:val="auto"/>
                <w:sz w:val="21"/>
                <w:szCs w:val="21"/>
                <w:highlight w:val="none"/>
                <w:lang w:eastAsia="zh-CN"/>
              </w:rPr>
              <w:t>联合体投标的，承担施工工作的所有联合体成员均需提供</w:t>
            </w:r>
            <w:r>
              <w:rPr>
                <w:rFonts w:hint="eastAsia" w:ascii="宋体" w:hAnsi="宋体" w:eastAsia="宋体" w:cs="宋体"/>
                <w:color w:val="auto"/>
                <w:sz w:val="21"/>
                <w:szCs w:val="21"/>
                <w:highlight w:val="none"/>
              </w:rPr>
              <w:t>）。</w:t>
            </w:r>
          </w:p>
          <w:p w14:paraId="6E1F6D55">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7.拟派项目负责人、施工负责人注册执业资格证书</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设计负责人的注册执业资格证书</w:t>
            </w:r>
            <w:r>
              <w:rPr>
                <w:rFonts w:hint="eastAsia" w:ascii="宋体" w:hAnsi="宋体" w:eastAsia="宋体" w:cs="宋体"/>
                <w:i w:val="0"/>
                <w:iCs w:val="0"/>
                <w:color w:val="auto"/>
                <w:spacing w:val="0"/>
                <w:sz w:val="21"/>
                <w:szCs w:val="21"/>
                <w:highlight w:val="none"/>
                <w:lang w:val="en-US" w:eastAsia="zh-CN"/>
              </w:rPr>
              <w:t>或职称证书</w:t>
            </w:r>
            <w:r>
              <w:rPr>
                <w:rFonts w:hint="eastAsia" w:ascii="宋体" w:hAnsi="宋体" w:eastAsia="宋体" w:cs="宋体"/>
                <w:i w:val="0"/>
                <w:iCs w:val="0"/>
                <w:color w:val="auto"/>
                <w:spacing w:val="0"/>
                <w:sz w:val="21"/>
                <w:szCs w:val="21"/>
                <w:highlight w:val="none"/>
              </w:rPr>
              <w:t>；</w:t>
            </w:r>
          </w:p>
          <w:p w14:paraId="7AC40603">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8.投标承诺书（应按照本招标文件提供的格式填写）；</w:t>
            </w:r>
          </w:p>
          <w:p w14:paraId="5F818E28">
            <w:pPr>
              <w:pStyle w:val="43"/>
              <w:keepNext w:val="0"/>
              <w:keepLines w:val="0"/>
              <w:pageBreakBefore w:val="0"/>
              <w:widowControl/>
              <w:kinsoku/>
              <w:wordWrap/>
              <w:overflowPunct/>
              <w:topLinePunct w:val="0"/>
              <w:autoSpaceDE/>
              <w:autoSpaceDN/>
              <w:bidi w:val="0"/>
              <w:adjustRightInd w:val="0"/>
              <w:snapToGrid w:val="0"/>
              <w:spacing w:line="240" w:lineRule="auto"/>
              <w:ind w:left="64" w:right="92" w:hanging="1"/>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9.投标保证金缴纳证明资料（银行转账记录或银行保函或投标保险保单或保证金联保证明或其他，并提供购买保险或办理保函、担保等保证金相关费用从投标人基本账户转出凭证。）；</w:t>
            </w:r>
          </w:p>
          <w:p w14:paraId="6F0EB460">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10.专职安全生产管理人员的安全生产考核合格证书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联合体投标的，承担施工工作的所有联合体成员均需提供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771B8296">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□11.符合招标公告要求的类似业绩证明材料；</w:t>
            </w:r>
          </w:p>
          <w:p w14:paraId="1843FD68">
            <w:pPr>
              <w:pStyle w:val="43"/>
              <w:keepNext w:val="0"/>
              <w:keepLines w:val="0"/>
              <w:pageBreakBefore w:val="0"/>
              <w:kinsoku/>
              <w:wordWrap/>
              <w:overflowPunct/>
              <w:topLinePunct w:val="0"/>
              <w:autoSpaceDE/>
              <w:autoSpaceDN/>
              <w:bidi w:val="0"/>
              <w:spacing w:line="240" w:lineRule="auto"/>
              <w:ind w:right="13"/>
              <w:jc w:val="both"/>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12.</w:t>
            </w:r>
            <w:r>
              <w:rPr>
                <w:rFonts w:hint="eastAsia" w:ascii="宋体" w:hAnsi="宋体" w:eastAsia="宋体" w:cs="宋体"/>
                <w:b/>
                <w:bCs/>
                <w:color w:val="auto"/>
                <w:sz w:val="21"/>
                <w:szCs w:val="21"/>
                <w:highlight w:val="none"/>
                <w:u w:val="single"/>
                <w:lang w:eastAsia="zh-CN"/>
              </w:rPr>
              <w:t>须提供上述</w:t>
            </w:r>
            <w:r>
              <w:rPr>
                <w:rFonts w:hint="eastAsia" w:ascii="宋体" w:hAnsi="宋体" w:eastAsia="宋体" w:cs="宋体"/>
                <w:b/>
                <w:bCs/>
                <w:color w:val="auto"/>
                <w:sz w:val="21"/>
                <w:szCs w:val="21"/>
                <w:highlight w:val="none"/>
                <w:u w:val="single"/>
                <w:lang w:val="en-US" w:eastAsia="zh-CN"/>
              </w:rPr>
              <w:t>人员及项目班子成员有效期内证书、身份证复印件及投标人所在地社保部门提供的2024年9月本单位职工基本社会保险参保证明或缴费清单，已退休人员须提供退休相关证明资料，并加盖单位电子公章</w:t>
            </w:r>
            <w:r>
              <w:rPr>
                <w:rFonts w:hint="eastAsia" w:ascii="宋体" w:hAnsi="宋体" w:eastAsia="宋体" w:cs="宋体"/>
                <w:b/>
                <w:bCs/>
                <w:color w:val="auto"/>
                <w:sz w:val="21"/>
                <w:szCs w:val="21"/>
                <w:highlight w:val="none"/>
                <w:u w:val="single"/>
                <w:lang w:eastAsia="zh-CN"/>
              </w:rPr>
              <w:t>。</w:t>
            </w:r>
          </w:p>
          <w:p w14:paraId="0129E52A">
            <w:pPr>
              <w:pStyle w:val="43"/>
              <w:keepNext w:val="0"/>
              <w:keepLines w:val="0"/>
              <w:pageBreakBefore w:val="0"/>
              <w:kinsoku/>
              <w:wordWrap/>
              <w:overflowPunct/>
              <w:topLinePunct w:val="0"/>
              <w:autoSpaceDE/>
              <w:autoSpaceDN/>
              <w:bidi w:val="0"/>
              <w:spacing w:line="240" w:lineRule="auto"/>
              <w:ind w:right="13"/>
              <w:jc w:val="both"/>
              <w:textAlignment w:val="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13.</w:t>
            </w:r>
            <w:r>
              <w:rPr>
                <w:rFonts w:hint="eastAsia" w:ascii="宋体" w:hAnsi="宋体" w:eastAsia="宋体" w:cs="宋体"/>
                <w:b w:val="0"/>
                <w:bCs w:val="0"/>
                <w:color w:val="auto"/>
                <w:sz w:val="21"/>
                <w:szCs w:val="21"/>
                <w:highlight w:val="none"/>
                <w:u w:val="single"/>
                <w:lang w:eastAsia="zh-CN"/>
              </w:rPr>
              <w:t>承装(修、试)电力设施许可证。</w:t>
            </w:r>
          </w:p>
          <w:p w14:paraId="0E2EEDB2">
            <w:pPr>
              <w:pStyle w:val="43"/>
              <w:keepNext w:val="0"/>
              <w:keepLines w:val="0"/>
              <w:pageBreakBefore w:val="0"/>
              <w:kinsoku/>
              <w:wordWrap/>
              <w:overflowPunct/>
              <w:topLinePunct w:val="0"/>
              <w:autoSpaceDE/>
              <w:autoSpaceDN/>
              <w:bidi w:val="0"/>
              <w:spacing w:line="240" w:lineRule="auto"/>
              <w:ind w:right="13"/>
              <w:jc w:val="both"/>
              <w:textAlignment w:val="auto"/>
              <w:rPr>
                <w:rFonts w:hint="default"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val="en-US" w:eastAsia="zh-CN"/>
              </w:rPr>
              <w:t>14.投标保证金凭证</w:t>
            </w:r>
            <w:r>
              <w:rPr>
                <w:rFonts w:hint="eastAsia" w:ascii="宋体" w:hAnsi="宋体" w:eastAsia="宋体" w:cs="宋体"/>
                <w:b/>
                <w:bCs/>
                <w:color w:val="auto"/>
                <w:sz w:val="21"/>
                <w:szCs w:val="21"/>
                <w:highlight w:val="none"/>
                <w:u w:val="single"/>
                <w:lang w:eastAsia="zh-CN"/>
              </w:rPr>
              <w:t>（投标保证金应从投标人企业基本帐户交纳，联合体投标的，以联合体中牵头人名义递交投标保证金）</w:t>
            </w:r>
            <w:r>
              <w:rPr>
                <w:rFonts w:hint="eastAsia" w:ascii="宋体" w:hAnsi="宋体" w:eastAsia="宋体" w:cs="宋体"/>
                <w:i w:val="0"/>
                <w:iCs w:val="0"/>
                <w:color w:val="auto"/>
                <w:spacing w:val="0"/>
                <w:sz w:val="21"/>
                <w:szCs w:val="21"/>
                <w:highlight w:val="none"/>
                <w:lang w:val="en-US" w:eastAsia="zh-CN"/>
              </w:rPr>
              <w:t>；</w:t>
            </w:r>
          </w:p>
          <w:p w14:paraId="37A55FC4">
            <w:pPr>
              <w:pStyle w:val="43"/>
              <w:keepNext w:val="0"/>
              <w:keepLines w:val="0"/>
              <w:pageBreakBefore w:val="0"/>
              <w:kinsoku/>
              <w:wordWrap/>
              <w:overflowPunct/>
              <w:topLinePunct w:val="0"/>
              <w:autoSpaceDE/>
              <w:autoSpaceDN/>
              <w:bidi w:val="0"/>
              <w:spacing w:line="240" w:lineRule="auto"/>
              <w:ind w:right="13"/>
              <w:jc w:val="both"/>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pacing w:val="0"/>
                <w:sz w:val="21"/>
                <w:szCs w:val="21"/>
                <w:highlight w:val="none"/>
                <w:lang w:val="en-US" w:eastAsia="zh-CN"/>
              </w:rPr>
              <w:t>15.其他按招标文件规定投标人应提供的资格审查资料。</w:t>
            </w:r>
          </w:p>
        </w:tc>
      </w:tr>
      <w:tr w14:paraId="5265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211C515">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3.6</w:t>
            </w:r>
          </w:p>
        </w:tc>
        <w:tc>
          <w:tcPr>
            <w:tcW w:w="2266" w:type="dxa"/>
            <w:noWrap w:val="0"/>
            <w:vAlign w:val="top"/>
          </w:tcPr>
          <w:p w14:paraId="3D2CA351">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是否允许递交备选</w:t>
            </w:r>
          </w:p>
          <w:p w14:paraId="52E80508">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投标方案</w:t>
            </w:r>
          </w:p>
        </w:tc>
        <w:tc>
          <w:tcPr>
            <w:tcW w:w="6518" w:type="dxa"/>
            <w:noWrap w:val="0"/>
            <w:vAlign w:val="top"/>
          </w:tcPr>
          <w:p w14:paraId="5CAE29A7">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不允许</w:t>
            </w:r>
          </w:p>
          <w:p w14:paraId="16BFA51E">
            <w:pPr>
              <w:pStyle w:val="43"/>
              <w:keepNext w:val="0"/>
              <w:keepLines w:val="0"/>
              <w:pageBreakBefore w:val="0"/>
              <w:widowControl/>
              <w:kinsoku/>
              <w:wordWrap/>
              <w:overflowPunct/>
              <w:topLinePunct w:val="0"/>
              <w:autoSpaceDE/>
              <w:autoSpaceDN/>
              <w:bidi w:val="0"/>
              <w:adjustRightInd w:val="0"/>
              <w:snapToGrid w:val="0"/>
              <w:spacing w:line="240" w:lineRule="auto"/>
              <w:ind w:left="86"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□允许</w:t>
            </w:r>
          </w:p>
        </w:tc>
      </w:tr>
      <w:tr w14:paraId="1948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jc w:val="center"/>
        </w:trPr>
        <w:tc>
          <w:tcPr>
            <w:tcW w:w="1031" w:type="dxa"/>
            <w:noWrap w:val="0"/>
            <w:vAlign w:val="center"/>
          </w:tcPr>
          <w:p w14:paraId="4F58DF9B">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3.7.3</w:t>
            </w:r>
          </w:p>
        </w:tc>
        <w:tc>
          <w:tcPr>
            <w:tcW w:w="2266" w:type="dxa"/>
            <w:noWrap w:val="0"/>
            <w:vAlign w:val="center"/>
          </w:tcPr>
          <w:p w14:paraId="58CAA2A3">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签字或盖章要求/电子投标文件盖章要求</w:t>
            </w:r>
          </w:p>
        </w:tc>
        <w:tc>
          <w:tcPr>
            <w:tcW w:w="6518" w:type="dxa"/>
            <w:noWrap w:val="0"/>
            <w:vAlign w:val="center"/>
          </w:tcPr>
          <w:p w14:paraId="091F467A">
            <w:pPr>
              <w:pStyle w:val="43"/>
              <w:keepNext w:val="0"/>
              <w:keepLines w:val="0"/>
              <w:pageBreakBefore w:val="0"/>
              <w:widowControl/>
              <w:numPr>
                <w:ilvl w:val="0"/>
                <w:numId w:val="8"/>
              </w:numPr>
              <w:kinsoku/>
              <w:wordWrap/>
              <w:overflowPunct/>
              <w:topLinePunct w:val="0"/>
              <w:autoSpaceDE/>
              <w:autoSpaceDN/>
              <w:bidi w:val="0"/>
              <w:adjustRightInd w:val="0"/>
              <w:snapToGrid w:val="0"/>
              <w:spacing w:line="240" w:lineRule="auto"/>
              <w:ind w:left="169" w:right="89" w:firstLine="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文件提供的投标文件格式要求投标人盖章、法定代表人印章的地方，投标人均应使用CA数字证书加盖投标人的单位电子印章、法定代表人个人电子印章。联合体投标的，除联合体协议书格式之外的仅由联合体牵头人加盖单位电子印章、法定代表人个人电子印章即可；</w:t>
            </w:r>
          </w:p>
          <w:p w14:paraId="44F42BF7">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187" w:leftChars="0" w:right="89" w:right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2.投标文件所附证书证件、业绩证明文件、投标保证金等证明材料用原件的复制件并加盖投标单位电子印章；</w:t>
            </w:r>
          </w:p>
          <w:p w14:paraId="3A33343F">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left="187" w:leftChars="0" w:right="89" w:rightChars="0" w:firstLine="0" w:firstLine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□3.其它要求：</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tc>
      </w:tr>
      <w:tr w14:paraId="5B6F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top"/>
          </w:tcPr>
          <w:p w14:paraId="406D79D4">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p>
          <w:p w14:paraId="53421E15">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center"/>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3.7.4</w:t>
            </w:r>
          </w:p>
        </w:tc>
        <w:tc>
          <w:tcPr>
            <w:tcW w:w="2266" w:type="dxa"/>
            <w:noWrap w:val="0"/>
            <w:vAlign w:val="top"/>
          </w:tcPr>
          <w:p w14:paraId="3DF8F082">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p>
          <w:p w14:paraId="6F24301D">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center"/>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投标文件份数</w:t>
            </w:r>
          </w:p>
        </w:tc>
        <w:tc>
          <w:tcPr>
            <w:tcW w:w="6518" w:type="dxa"/>
            <w:noWrap w:val="0"/>
            <w:vAlign w:val="top"/>
          </w:tcPr>
          <w:p w14:paraId="65311E62">
            <w:pPr>
              <w:pStyle w:val="43"/>
              <w:keepNext w:val="0"/>
              <w:keepLines w:val="0"/>
              <w:pageBreakBefore w:val="0"/>
              <w:widowControl/>
              <w:numPr>
                <w:ilvl w:val="0"/>
                <w:numId w:val="9"/>
              </w:numPr>
              <w:kinsoku/>
              <w:wordWrap/>
              <w:overflowPunct/>
              <w:topLinePunct w:val="0"/>
              <w:autoSpaceDE/>
              <w:autoSpaceDN/>
              <w:bidi w:val="0"/>
              <w:adjustRightInd w:val="0"/>
              <w:spacing w:line="240" w:lineRule="auto"/>
              <w:ind w:left="79"/>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电子加密投标文件一份（釆用当地电子投标文件制作具制作），作为投标文件正本。</w:t>
            </w:r>
          </w:p>
          <w:p w14:paraId="77461DD0">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2. 其他：</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u w:val="single"/>
                <w:lang w:val="en-US" w:eastAsia="zh-CN"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p>
        </w:tc>
      </w:tr>
      <w:tr w14:paraId="433B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2D15F18">
            <w:pPr>
              <w:pStyle w:val="43"/>
              <w:keepNext w:val="0"/>
              <w:keepLines w:val="0"/>
              <w:pageBreakBefore w:val="0"/>
              <w:widowControl/>
              <w:kinsoku/>
              <w:wordWrap/>
              <w:overflowPunct/>
              <w:topLinePunct w:val="0"/>
              <w:autoSpaceDE/>
              <w:autoSpaceDN/>
              <w:bidi w:val="0"/>
              <w:adjustRightInd w:val="0"/>
              <w:snapToGrid w:val="0"/>
              <w:spacing w:line="240" w:lineRule="auto"/>
              <w:ind w:left="107" w:lef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□4.1.1</w:t>
            </w:r>
          </w:p>
        </w:tc>
        <w:tc>
          <w:tcPr>
            <w:tcW w:w="2266" w:type="dxa"/>
            <w:noWrap w:val="0"/>
            <w:vAlign w:val="top"/>
          </w:tcPr>
          <w:p w14:paraId="566C0709">
            <w:pPr>
              <w:pStyle w:val="43"/>
              <w:keepNext w:val="0"/>
              <w:keepLines w:val="0"/>
              <w:pageBreakBefore w:val="0"/>
              <w:widowControl/>
              <w:numPr>
                <w:ilvl w:val="0"/>
                <w:numId w:val="0"/>
              </w:numPr>
              <w:kinsoku/>
              <w:wordWrap/>
              <w:overflowPunct/>
              <w:topLinePunct w:val="0"/>
              <w:autoSpaceDE/>
              <w:autoSpaceDN/>
              <w:bidi w:val="0"/>
              <w:adjustRightInd w:val="0"/>
              <w:spacing w:line="240" w:lineRule="auto"/>
              <w:ind w:left="0" w:leftChars="0" w:firstLine="0" w:firstLine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投标文件外包装和密封要求</w:t>
            </w:r>
          </w:p>
        </w:tc>
        <w:tc>
          <w:tcPr>
            <w:tcW w:w="6518" w:type="dxa"/>
            <w:noWrap w:val="0"/>
            <w:vAlign w:val="top"/>
          </w:tcPr>
          <w:p w14:paraId="5626033A">
            <w:pPr>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p>
        </w:tc>
      </w:tr>
      <w:tr w14:paraId="559B3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28404EC2">
            <w:pPr>
              <w:pStyle w:val="43"/>
              <w:keepNext w:val="0"/>
              <w:keepLines w:val="0"/>
              <w:pageBreakBefore w:val="0"/>
              <w:widowControl/>
              <w:kinsoku/>
              <w:wordWrap/>
              <w:overflowPunct/>
              <w:topLinePunct w:val="0"/>
              <w:autoSpaceDE/>
              <w:autoSpaceDN/>
              <w:bidi w:val="0"/>
              <w:adjustRightInd w:val="0"/>
              <w:snapToGrid w:val="0"/>
              <w:spacing w:line="240" w:lineRule="auto"/>
              <w:ind w:left="107" w:lef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□4.1.2</w:t>
            </w:r>
          </w:p>
        </w:tc>
        <w:tc>
          <w:tcPr>
            <w:tcW w:w="2266" w:type="dxa"/>
            <w:noWrap w:val="0"/>
            <w:vAlign w:val="center"/>
          </w:tcPr>
          <w:p w14:paraId="415631A6">
            <w:pPr>
              <w:pStyle w:val="43"/>
              <w:keepNext w:val="0"/>
              <w:keepLines w:val="0"/>
              <w:pageBreakBefore w:val="0"/>
              <w:widowControl/>
              <w:kinsoku/>
              <w:wordWrap/>
              <w:overflowPunct/>
              <w:topLinePunct w:val="0"/>
              <w:autoSpaceDE/>
              <w:autoSpaceDN/>
              <w:bidi w:val="0"/>
              <w:adjustRightInd w:val="0"/>
              <w:snapToGrid w:val="0"/>
              <w:spacing w:line="240" w:lineRule="auto"/>
              <w:ind w:left="65"/>
              <w:jc w:val="center"/>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封套上应载明</w:t>
            </w:r>
          </w:p>
          <w:p w14:paraId="39A43875">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的信息</w:t>
            </w:r>
          </w:p>
        </w:tc>
        <w:tc>
          <w:tcPr>
            <w:tcW w:w="6518" w:type="dxa"/>
            <w:noWrap w:val="0"/>
            <w:vAlign w:val="center"/>
          </w:tcPr>
          <w:p w14:paraId="52CFCE7F">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招标人名称：</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p>
          <w:p w14:paraId="38BEAD04">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（项目名称）</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工程总承包招标项目投标文件</w:t>
            </w:r>
          </w:p>
          <w:p w14:paraId="0A9DEE85">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招标项目编号：</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 xml:space="preserve"> 投标单位名称：</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 xml:space="preserve"> </w:t>
            </w:r>
          </w:p>
          <w:p w14:paraId="17016E5B">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在投标截止时间前不得开启</w:t>
            </w:r>
          </w:p>
          <w:p w14:paraId="1606C813">
            <w:pPr>
              <w:pStyle w:val="43"/>
              <w:keepNext w:val="0"/>
              <w:keepLines w:val="0"/>
              <w:pageBreakBefore w:val="0"/>
              <w:widowControl/>
              <w:kinsoku/>
              <w:wordWrap/>
              <w:overflowPunct/>
              <w:topLinePunct w:val="0"/>
              <w:autoSpaceDE/>
              <w:autoSpaceDN/>
              <w:bidi w:val="0"/>
              <w:adjustRightInd w:val="0"/>
              <w:snapToGrid w:val="0"/>
              <w:spacing w:line="240" w:lineRule="auto"/>
              <w:ind w:left="65"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□其他：</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w:t>
            </w:r>
          </w:p>
        </w:tc>
      </w:tr>
      <w:tr w14:paraId="15A2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7B61FA5">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4.2.2</w:t>
            </w:r>
          </w:p>
        </w:tc>
        <w:tc>
          <w:tcPr>
            <w:tcW w:w="2266" w:type="dxa"/>
            <w:noWrap w:val="0"/>
            <w:vAlign w:val="center"/>
          </w:tcPr>
          <w:p w14:paraId="59688572">
            <w:pPr>
              <w:pStyle w:val="43"/>
              <w:keepNext w:val="0"/>
              <w:keepLines w:val="0"/>
              <w:pageBreakBefore w:val="0"/>
              <w:widowControl/>
              <w:kinsoku/>
              <w:wordWrap/>
              <w:overflowPunct/>
              <w:topLinePunct w:val="0"/>
              <w:autoSpaceDE/>
              <w:autoSpaceDN/>
              <w:bidi w:val="0"/>
              <w:adjustRightInd w:val="0"/>
              <w:snapToGrid w:val="0"/>
              <w:spacing w:line="240" w:lineRule="auto"/>
              <w:ind w:left="62" w:leftChars="0" w:right="81" w:righ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递交投标文件地点/电子投标文件上传平台</w:t>
            </w:r>
          </w:p>
        </w:tc>
        <w:tc>
          <w:tcPr>
            <w:tcW w:w="6518" w:type="dxa"/>
            <w:noWrap w:val="0"/>
            <w:vAlign w:val="center"/>
          </w:tcPr>
          <w:p w14:paraId="0F8B73E4">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1.递交投标文件地点：</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57BCA58E">
            <w:pPr>
              <w:pStyle w:val="9"/>
              <w:keepNext w:val="0"/>
              <w:keepLines w:val="0"/>
              <w:pageBreakBefore w:val="0"/>
              <w:widowControl/>
              <w:kinsoku/>
              <w:wordWrap/>
              <w:overflowPunct/>
              <w:topLinePunct w:val="0"/>
              <w:autoSpaceDE/>
              <w:autoSpaceDN/>
              <w:bidi w:val="0"/>
              <w:adjustRightInd w:val="0"/>
              <w:spacing w:line="240" w:lineRule="auto"/>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电子投标文件：将由投标文件制作工具制作生成的加密投标文件（.QZTF）在投标截止时间前（以上传完成时间为准）上传至衢州市公共资源电子交易系统</w:t>
            </w:r>
          </w:p>
          <w:p w14:paraId="00FEE16C">
            <w:pPr>
              <w:pStyle w:val="9"/>
              <w:keepNext w:val="0"/>
              <w:keepLines w:val="0"/>
              <w:pageBreakBefore w:val="0"/>
              <w:widowControl/>
              <w:kinsoku/>
              <w:wordWrap/>
              <w:overflowPunct/>
              <w:topLinePunct w:val="0"/>
              <w:autoSpaceDE/>
              <w:autoSpaceDN/>
              <w:bidi w:val="0"/>
              <w:adjustRightInd w:val="0"/>
              <w:spacing w:line="240" w:lineRule="auto"/>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w:t>
            </w:r>
            <w:r>
              <w:rPr>
                <w:rFonts w:hint="eastAsia" w:ascii="宋体" w:hAnsi="宋体" w:eastAsia="宋体" w:cs="宋体"/>
                <w:b w:val="0"/>
                <w:bCs w:val="0"/>
                <w:color w:val="000000" w:themeColor="text1"/>
                <w:szCs w:val="21"/>
                <w:highlight w:val="none"/>
                <w14:textFill>
                  <w14:solidFill>
                    <w14:schemeClr w14:val="tx1"/>
                  </w14:solidFill>
                </w14:textFill>
              </w:rPr>
              <w:t>https://jyzx.ggzy.qz.gov.cn/TPBidder/login</w:t>
            </w:r>
            <w:r>
              <w:rPr>
                <w:rFonts w:hint="eastAsia" w:ascii="宋体" w:hAnsi="宋体" w:eastAsia="宋体" w:cs="宋体"/>
                <w:b w:val="0"/>
                <w:bCs w:val="0"/>
                <w:color w:val="000000" w:themeColor="text1"/>
                <w:sz w:val="21"/>
                <w:szCs w:val="21"/>
                <w:highlight w:val="none"/>
                <w14:textFill>
                  <w14:solidFill>
                    <w14:schemeClr w14:val="tx1"/>
                  </w14:solidFill>
                </w14:textFill>
              </w:rPr>
              <w:t>)。</w:t>
            </w:r>
          </w:p>
          <w:p w14:paraId="3661F6F2">
            <w:pPr>
              <w:pStyle w:val="43"/>
              <w:keepNext w:val="0"/>
              <w:keepLines w:val="0"/>
              <w:pageBreakBefore w:val="0"/>
              <w:widowControl/>
              <w:kinsoku/>
              <w:wordWrap/>
              <w:overflowPunct/>
              <w:topLinePunct w:val="0"/>
              <w:autoSpaceDE/>
              <w:autoSpaceDN/>
              <w:bidi w:val="0"/>
              <w:adjustRightInd w:val="0"/>
              <w:snapToGrid w:val="0"/>
              <w:spacing w:line="240" w:lineRule="auto"/>
              <w:ind w:left="53"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kern w:val="2"/>
                <w:sz w:val="21"/>
                <w:szCs w:val="21"/>
                <w:highlight w:val="none"/>
                <w14:textFill>
                  <w14:solidFill>
                    <w14:schemeClr w14:val="tx1"/>
                  </w14:solidFill>
                </w14:textFill>
              </w:rPr>
              <w:t>（注：中标公示结束后，中标人应按招标人要求的份数免费提供投标文件正副本）。</w:t>
            </w:r>
          </w:p>
        </w:tc>
      </w:tr>
      <w:tr w14:paraId="2F38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A36CDE5">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4.2.3</w:t>
            </w:r>
          </w:p>
        </w:tc>
        <w:tc>
          <w:tcPr>
            <w:tcW w:w="2266" w:type="dxa"/>
            <w:noWrap w:val="0"/>
            <w:vAlign w:val="center"/>
          </w:tcPr>
          <w:p w14:paraId="50E2C530">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投标文件</w:t>
            </w:r>
          </w:p>
          <w:p w14:paraId="51976378">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退还情形</w:t>
            </w:r>
          </w:p>
        </w:tc>
        <w:tc>
          <w:tcPr>
            <w:tcW w:w="6518" w:type="dxa"/>
            <w:noWrap w:val="0"/>
            <w:vAlign w:val="center"/>
          </w:tcPr>
          <w:p w14:paraId="23EBE6C3">
            <w:pPr>
              <w:pStyle w:val="43"/>
              <w:spacing w:before="116" w:line="347" w:lineRule="auto"/>
              <w:ind w:left="61" w:right="58" w:firstLine="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投标截止时间止，存在以下情形之一的不予开标，投标文</w:t>
            </w:r>
            <w:r>
              <w:rPr>
                <w:rFonts w:hint="eastAsia" w:ascii="宋体" w:hAnsi="宋体" w:eastAsia="宋体" w:cs="宋体"/>
                <w:color w:val="auto"/>
                <w:spacing w:val="-3"/>
                <w:sz w:val="21"/>
                <w:szCs w:val="21"/>
                <w:highlight w:val="none"/>
              </w:rPr>
              <w:t>件退还：</w:t>
            </w:r>
          </w:p>
          <w:p w14:paraId="0739158C">
            <w:pPr>
              <w:pStyle w:val="43"/>
              <w:keepNext w:val="0"/>
              <w:keepLines w:val="0"/>
              <w:pageBreakBefore w:val="0"/>
              <w:widowControl/>
              <w:numPr>
                <w:ilvl w:val="0"/>
                <w:numId w:val="10"/>
              </w:numPr>
              <w:kinsoku/>
              <w:wordWrap/>
              <w:overflowPunct/>
              <w:topLinePunct w:val="0"/>
              <w:autoSpaceDE/>
              <w:autoSpaceDN/>
              <w:bidi w:val="0"/>
              <w:adjustRightInd w:val="0"/>
              <w:snapToGrid w:val="0"/>
              <w:spacing w:line="240" w:lineRule="auto"/>
              <w:ind w:left="65" w:leftChars="0"/>
              <w:jc w:val="both"/>
              <w:textAlignment w:val="auto"/>
              <w:outlineLvl w:val="9"/>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递交投标文件的投标人少于3个的；</w:t>
            </w:r>
          </w:p>
          <w:p w14:paraId="2EF0C4BB">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2.其他：</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u w:val="single" w:color="auto"/>
                <w:lang w:val="en-US" w:eastAsia="zh-CN"/>
              </w:rPr>
              <w:t>/</w:t>
            </w:r>
            <w:r>
              <w:rPr>
                <w:rFonts w:hint="eastAsia" w:ascii="宋体" w:hAnsi="宋体" w:eastAsia="宋体" w:cs="宋体"/>
                <w:color w:val="auto"/>
                <w:spacing w:val="-1"/>
                <w:sz w:val="21"/>
                <w:szCs w:val="21"/>
                <w:highlight w:val="none"/>
                <w:u w:val="single" w:color="auto"/>
              </w:rPr>
              <w:t xml:space="preserve">     </w:t>
            </w:r>
            <w:r>
              <w:rPr>
                <w:rFonts w:hint="eastAsia" w:ascii="宋体" w:hAnsi="宋体" w:eastAsia="宋体" w:cs="宋体"/>
                <w:color w:val="auto"/>
                <w:spacing w:val="-1"/>
                <w:sz w:val="21"/>
                <w:szCs w:val="21"/>
                <w:highlight w:val="none"/>
              </w:rPr>
              <w:t>。</w:t>
            </w:r>
          </w:p>
        </w:tc>
      </w:tr>
      <w:tr w14:paraId="2A23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9DD598C">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4.2.5</w:t>
            </w:r>
          </w:p>
        </w:tc>
        <w:tc>
          <w:tcPr>
            <w:tcW w:w="2266" w:type="dxa"/>
            <w:noWrap w:val="0"/>
            <w:vAlign w:val="center"/>
          </w:tcPr>
          <w:p w14:paraId="324BF9E3">
            <w:pPr>
              <w:pStyle w:val="43"/>
              <w:keepNext w:val="0"/>
              <w:keepLines w:val="0"/>
              <w:pageBreakBefore w:val="0"/>
              <w:widowControl/>
              <w:kinsoku/>
              <w:wordWrap/>
              <w:overflowPunct/>
              <w:topLinePunct w:val="0"/>
              <w:autoSpaceDE/>
              <w:autoSpaceDN/>
              <w:bidi w:val="0"/>
              <w:adjustRightInd w:val="0"/>
              <w:snapToGrid w:val="0"/>
              <w:spacing w:line="240" w:lineRule="auto"/>
              <w:ind w:left="373" w:leftChars="0" w:right="249" w:rightChars="0" w:hanging="116" w:firstLine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投标文件的拒收情形</w:t>
            </w:r>
          </w:p>
        </w:tc>
        <w:tc>
          <w:tcPr>
            <w:tcW w:w="6518" w:type="dxa"/>
            <w:noWrap w:val="0"/>
            <w:vAlign w:val="center"/>
          </w:tcPr>
          <w:p w14:paraId="2EFEFCCA">
            <w:pPr>
              <w:pStyle w:val="59"/>
              <w:keepNext w:val="0"/>
              <w:keepLines w:val="0"/>
              <w:pageBreakBefore w:val="0"/>
              <w:widowControl/>
              <w:shd w:val="clear" w:color="auto" w:fill="auto"/>
              <w:tabs>
                <w:tab w:val="left" w:pos="639"/>
              </w:tabs>
              <w:kinsoku/>
              <w:wordWrap/>
              <w:overflowPunct/>
              <w:topLinePunct w:val="0"/>
              <w:autoSpaceDE/>
              <w:autoSpaceDN/>
              <w:bidi w:val="0"/>
              <w:adjustRightInd w:val="0"/>
              <w:spacing w:line="240" w:lineRule="auto"/>
              <w:ind w:firstLine="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1.投标人未按规定加密的投标文件。</w:t>
            </w:r>
          </w:p>
          <w:p w14:paraId="2619403A">
            <w:pPr>
              <w:pStyle w:val="59"/>
              <w:keepNext w:val="0"/>
              <w:keepLines w:val="0"/>
              <w:pageBreakBefore w:val="0"/>
              <w:widowControl/>
              <w:shd w:val="clear" w:color="auto" w:fill="auto"/>
              <w:tabs>
                <w:tab w:val="left" w:pos="639"/>
              </w:tabs>
              <w:kinsoku/>
              <w:wordWrap/>
              <w:overflowPunct/>
              <w:topLinePunct w:val="0"/>
              <w:autoSpaceDE/>
              <w:autoSpaceDN/>
              <w:bidi w:val="0"/>
              <w:adjustRightInd w:val="0"/>
              <w:spacing w:line="240" w:lineRule="auto"/>
              <w:ind w:firstLine="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2.未在投标截止时间前完成上传的投标文件。</w:t>
            </w:r>
          </w:p>
          <w:p w14:paraId="1110ACC5">
            <w:pPr>
              <w:pStyle w:val="59"/>
              <w:keepNext w:val="0"/>
              <w:keepLines w:val="0"/>
              <w:pageBreakBefore w:val="0"/>
              <w:widowControl/>
              <w:shd w:val="clear" w:color="auto" w:fill="auto"/>
              <w:tabs>
                <w:tab w:val="left" w:pos="639"/>
              </w:tabs>
              <w:kinsoku/>
              <w:wordWrap/>
              <w:overflowPunct/>
              <w:topLinePunct w:val="0"/>
              <w:autoSpaceDE/>
              <w:autoSpaceDN/>
              <w:bidi w:val="0"/>
              <w:adjustRightInd w:val="0"/>
              <w:spacing w:line="240" w:lineRule="auto"/>
              <w:ind w:firstLine="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存在下列情况之一的，视为拒收：</w:t>
            </w:r>
          </w:p>
          <w:p w14:paraId="44129511">
            <w:pPr>
              <w:pStyle w:val="59"/>
              <w:keepNext w:val="0"/>
              <w:keepLines w:val="0"/>
              <w:pageBreakBefore w:val="0"/>
              <w:widowControl/>
              <w:tabs>
                <w:tab w:val="left" w:pos="639"/>
              </w:tabs>
              <w:kinsoku/>
              <w:wordWrap/>
              <w:overflowPunct/>
              <w:topLinePunct w:val="0"/>
              <w:autoSpaceDE/>
              <w:autoSpaceDN/>
              <w:bidi w:val="0"/>
              <w:adjustRightInd w:val="0"/>
              <w:spacing w:line="240" w:lineRule="auto"/>
              <w:ind w:firstLine="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（1）电子投标文件无法解密的；</w:t>
            </w:r>
          </w:p>
          <w:p w14:paraId="52D329B3">
            <w:pPr>
              <w:pStyle w:val="59"/>
              <w:keepNext w:val="0"/>
              <w:keepLines w:val="0"/>
              <w:pageBreakBefore w:val="0"/>
              <w:widowControl/>
              <w:tabs>
                <w:tab w:val="left" w:pos="639"/>
              </w:tabs>
              <w:kinsoku/>
              <w:wordWrap/>
              <w:overflowPunct/>
              <w:topLinePunct w:val="0"/>
              <w:autoSpaceDE/>
              <w:autoSpaceDN/>
              <w:bidi w:val="0"/>
              <w:adjustRightInd w:val="0"/>
              <w:spacing w:line="240" w:lineRule="auto"/>
              <w:ind w:firstLine="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（2）电子投标文件解密后无法正确读取的；</w:t>
            </w:r>
          </w:p>
          <w:p w14:paraId="6185CBD3">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（3）电子投标文件无法导入成功的；</w:t>
            </w:r>
          </w:p>
        </w:tc>
      </w:tr>
      <w:tr w14:paraId="23C7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E5F7ABA">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5.1</w:t>
            </w:r>
          </w:p>
        </w:tc>
        <w:tc>
          <w:tcPr>
            <w:tcW w:w="2266" w:type="dxa"/>
            <w:noWrap w:val="0"/>
            <w:vAlign w:val="center"/>
          </w:tcPr>
          <w:p w14:paraId="711E6D9E">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right="227" w:rightChars="0" w:firstLine="31" w:firstLine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开标时间、开标地点、参加开标会议的要求</w:t>
            </w:r>
          </w:p>
        </w:tc>
        <w:tc>
          <w:tcPr>
            <w:tcW w:w="6518" w:type="dxa"/>
            <w:noWrap w:val="0"/>
            <w:vAlign w:val="center"/>
          </w:tcPr>
          <w:p w14:paraId="1E8F6B4C">
            <w:pPr>
              <w:pStyle w:val="43"/>
              <w:keepNext w:val="0"/>
              <w:keepLines w:val="0"/>
              <w:pageBreakBefore w:val="0"/>
              <w:widowControl/>
              <w:kinsoku/>
              <w:wordWrap/>
              <w:overflowPunct/>
              <w:topLinePunct w:val="0"/>
              <w:autoSpaceDE/>
              <w:autoSpaceDN/>
              <w:bidi w:val="0"/>
              <w:adjustRightInd w:val="0"/>
              <w:snapToGrid w:val="0"/>
              <w:spacing w:line="240" w:lineRule="auto"/>
              <w:ind w:left="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1.开标时间：同投标截止时间。</w:t>
            </w:r>
          </w:p>
          <w:p w14:paraId="67CC6E20">
            <w:pPr>
              <w:pStyle w:val="43"/>
              <w:keepNext w:val="0"/>
              <w:keepLines w:val="0"/>
              <w:pageBreakBefore w:val="0"/>
              <w:widowControl/>
              <w:kinsoku/>
              <w:wordWrap/>
              <w:overflowPunct/>
              <w:topLinePunct w:val="0"/>
              <w:autoSpaceDE/>
              <w:autoSpaceDN/>
              <w:bidi w:val="0"/>
              <w:adjustRightInd w:val="0"/>
              <w:snapToGrid w:val="0"/>
              <w:spacing w:line="240" w:lineRule="auto"/>
              <w:ind w:left="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2.开标地点：</w:t>
            </w:r>
            <w:r>
              <w:rPr>
                <w:rFonts w:hint="eastAsia" w:ascii="宋体" w:hAnsi="宋体" w:eastAsia="宋体" w:cs="宋体"/>
                <w:i w:val="0"/>
                <w:iCs w:val="0"/>
                <w:color w:val="000000" w:themeColor="text1"/>
                <w:sz w:val="21"/>
                <w:szCs w:val="21"/>
                <w:highlight w:val="none"/>
                <w:u w:val="single"/>
                <w:shd w:val="clear" w:color="auto" w:fill="auto"/>
                <w:lang w:val="en-US" w:eastAsia="zh-CN"/>
                <w14:textFill>
                  <w14:solidFill>
                    <w14:schemeClr w14:val="tx1"/>
                  </w14:solidFill>
                </w14:textFill>
              </w:rPr>
              <w:t>开化县公共资源交易中心五楼开标厅</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0A1E1155">
            <w:pPr>
              <w:pStyle w:val="43"/>
              <w:keepNext w:val="0"/>
              <w:keepLines w:val="0"/>
              <w:pageBreakBefore w:val="0"/>
              <w:widowControl/>
              <w:kinsoku/>
              <w:wordWrap/>
              <w:overflowPunct/>
              <w:topLinePunct w:val="0"/>
              <w:autoSpaceDE/>
              <w:autoSpaceDN/>
              <w:bidi w:val="0"/>
              <w:adjustRightInd w:val="0"/>
              <w:snapToGrid w:val="0"/>
              <w:spacing w:line="240" w:lineRule="auto"/>
              <w:ind w:left="6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3.开标平台：</w:t>
            </w:r>
            <w:r>
              <w:rPr>
                <w:rFonts w:hint="eastAsia" w:ascii="宋体" w:hAnsi="宋体" w:eastAsia="宋体" w:cs="宋体"/>
                <w:i w:val="0"/>
                <w:iCs w:val="0"/>
                <w:color w:val="000000" w:themeColor="text1"/>
                <w:sz w:val="21"/>
                <w:szCs w:val="21"/>
                <w:highlight w:val="none"/>
                <w:u w:val="single"/>
                <w:shd w:val="clear" w:color="auto" w:fill="auto"/>
                <w:lang w:val="en-US" w:eastAsia="zh-CN"/>
                <w14:textFill>
                  <w14:solidFill>
                    <w14:schemeClr w14:val="tx1"/>
                  </w14:solidFill>
                </w14:textFill>
              </w:rPr>
              <w:t>衢州市市县一体公共资源交易平台</w:t>
            </w:r>
          </w:p>
          <w:p w14:paraId="48ECBB25">
            <w:pPr>
              <w:pStyle w:val="43"/>
              <w:keepNext w:val="0"/>
              <w:keepLines w:val="0"/>
              <w:pageBreakBefore w:val="0"/>
              <w:widowControl/>
              <w:kinsoku/>
              <w:wordWrap/>
              <w:overflowPunct/>
              <w:topLinePunct w:val="0"/>
              <w:autoSpaceDE/>
              <w:autoSpaceDN/>
              <w:bidi w:val="0"/>
              <w:adjustRightInd w:val="0"/>
              <w:snapToGrid w:val="0"/>
              <w:spacing w:line="240" w:lineRule="auto"/>
              <w:ind w:left="61"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4.其他：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0830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00D3CD94">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5.2</w:t>
            </w:r>
          </w:p>
        </w:tc>
        <w:tc>
          <w:tcPr>
            <w:tcW w:w="2266" w:type="dxa"/>
            <w:noWrap w:val="0"/>
            <w:vAlign w:val="center"/>
          </w:tcPr>
          <w:p w14:paraId="581394C0">
            <w:pPr>
              <w:pStyle w:val="43"/>
              <w:keepNext w:val="0"/>
              <w:keepLines w:val="0"/>
              <w:pageBreakBefore w:val="0"/>
              <w:widowControl/>
              <w:kinsoku/>
              <w:wordWrap/>
              <w:overflowPunct/>
              <w:topLinePunct w:val="0"/>
              <w:autoSpaceDE/>
              <w:autoSpaceDN/>
              <w:bidi w:val="0"/>
              <w:adjustRightInd w:val="0"/>
              <w:snapToGrid w:val="0"/>
              <w:spacing w:line="240" w:lineRule="auto"/>
              <w:ind w:left="543"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开标</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程序</w:t>
            </w:r>
          </w:p>
        </w:tc>
        <w:tc>
          <w:tcPr>
            <w:tcW w:w="6518" w:type="dxa"/>
            <w:noWrap w:val="0"/>
            <w:vAlign w:val="center"/>
          </w:tcPr>
          <w:p w14:paraId="7B5B8031">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一、投标人须准备好加密投标文件的 CA 数字证书以供开标时远程解密投标文件。</w:t>
            </w:r>
          </w:p>
          <w:p w14:paraId="78D5ED93">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二、开标程序</w:t>
            </w:r>
          </w:p>
          <w:p w14:paraId="28A665D2">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（一）至投标截止时间</w:t>
            </w:r>
          </w:p>
          <w:p w14:paraId="271F6C87">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招标人（或招标代理工作人员）宣布开始开标，宣布开标项目名称、招标人代表等有关人员姓名，公布在投标截止时间前受理的投标文件的投标人名称。</w:t>
            </w:r>
          </w:p>
          <w:p w14:paraId="23AB4D54">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（二）投标人解密</w:t>
            </w:r>
          </w:p>
          <w:p w14:paraId="6A97868B">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投标人解密时间：主持人宣布开始解密后 30 分钟以内。投标人解密方式：投标人自行登录衢州市公共资源不见面开标大厅</w:t>
            </w:r>
            <w:r>
              <w:rPr>
                <w:rFonts w:hint="eastAsia" w:ascii="宋体" w:hAnsi="宋体" w:eastAsia="宋体" w:cs="宋体"/>
                <w:color w:val="000000" w:themeColor="text1"/>
                <w:highlight w:val="none"/>
                <w:lang w:eastAsia="zh-CN"/>
                <w14:textFill>
                  <w14:solidFill>
                    <w14:schemeClr w14:val="tx1"/>
                  </w14:solidFill>
                </w14:textFill>
              </w:rPr>
              <w:t>（https://jyzx.ggzy.qz.gov.cn/BidOpening/bidopeninghallaction/hall/login）</w:t>
            </w:r>
            <w:r>
              <w:rPr>
                <w:rFonts w:hint="eastAsia" w:ascii="宋体" w:hAnsi="宋体" w:eastAsia="宋体" w:cs="宋体"/>
                <w:color w:val="000000" w:themeColor="text1"/>
                <w:highlight w:val="none"/>
                <w14:textFill>
                  <w14:solidFill>
                    <w14:schemeClr w14:val="tx1"/>
                  </w14:solidFill>
                </w14:textFill>
              </w:rPr>
              <w:t>——我的项目——选择标段——待招标代理开启解密后进行解密操作。</w:t>
            </w:r>
          </w:p>
          <w:p w14:paraId="6F8D7211">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（三）投标人使用生成投标文件的 CA 数字证书解密投标文件。</w:t>
            </w:r>
          </w:p>
          <w:p w14:paraId="77196F2E">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（四）投标文件解密完成后，开标系统公布投标单位、</w:t>
            </w:r>
            <w:r>
              <w:rPr>
                <w:rFonts w:hint="eastAsia" w:ascii="宋体" w:hAnsi="宋体" w:eastAsia="宋体" w:cs="宋体"/>
                <w:color w:val="000000" w:themeColor="text1"/>
                <w:highlight w:val="none"/>
                <w:lang w:eastAsia="zh-CN"/>
                <w14:textFill>
                  <w14:solidFill>
                    <w14:schemeClr w14:val="tx1"/>
                  </w14:solidFill>
                </w14:textFill>
              </w:rPr>
              <w:t>项目总负责人</w:t>
            </w:r>
            <w:r>
              <w:rPr>
                <w:rFonts w:hint="eastAsia" w:ascii="宋体" w:hAnsi="宋体" w:eastAsia="宋体" w:cs="宋体"/>
                <w:color w:val="000000" w:themeColor="text1"/>
                <w:highlight w:val="none"/>
                <w14:textFill>
                  <w14:solidFill>
                    <w14:schemeClr w14:val="tx1"/>
                  </w14:solidFill>
                </w14:textFill>
              </w:rPr>
              <w:t>、工期及其他内容。</w:t>
            </w:r>
          </w:p>
          <w:p w14:paraId="095CEB6C">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（五）投标人确认</w:t>
            </w:r>
          </w:p>
          <w:p w14:paraId="5266AD7D">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投标人对开标过程有异议的，应通过衢州市公共资源不见面开标大厅系统的“开标异议文字提问”按钮进行异议，招标人通过衢州市公共资源不见面开标大厅系统在线文字答复；</w:t>
            </w:r>
          </w:p>
          <w:p w14:paraId="3253E591">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（六）进入评标环节，</w:t>
            </w:r>
            <w:r>
              <w:rPr>
                <w:color w:val="auto"/>
                <w:highlight w:val="none"/>
              </w:rPr>
              <w:t>资格</w:t>
            </w:r>
            <w:r>
              <w:rPr>
                <w:rFonts w:hint="eastAsia"/>
                <w:color w:val="auto"/>
                <w:highlight w:val="none"/>
                <w:lang w:val="en-US" w:eastAsia="zh-CN"/>
              </w:rPr>
              <w:t>审查资料</w:t>
            </w:r>
            <w:r>
              <w:rPr>
                <w:color w:val="auto"/>
                <w:highlight w:val="none"/>
              </w:rPr>
              <w:t>、技术标</w:t>
            </w:r>
            <w:r>
              <w:rPr>
                <w:rFonts w:hint="eastAsia"/>
                <w:color w:val="auto"/>
                <w:highlight w:val="none"/>
                <w:lang w:eastAsia="zh-CN"/>
              </w:rPr>
              <w:t>、</w:t>
            </w:r>
            <w:r>
              <w:rPr>
                <w:rFonts w:hint="eastAsia"/>
                <w:color w:val="auto"/>
                <w:highlight w:val="none"/>
                <w:lang w:val="en-US" w:eastAsia="zh-CN"/>
              </w:rPr>
              <w:t>资信标</w:t>
            </w:r>
            <w:r>
              <w:rPr>
                <w:color w:val="auto"/>
                <w:highlight w:val="none"/>
              </w:rPr>
              <w:t>结束后</w:t>
            </w:r>
            <w:r>
              <w:rPr>
                <w:rFonts w:hint="eastAsia" w:ascii="宋体" w:hAnsi="宋体" w:eastAsia="宋体" w:cs="宋体"/>
                <w:color w:val="auto"/>
                <w:highlight w:val="none"/>
              </w:rPr>
              <w:t>，进行到商务报价评分当最佳评标价高于</w:t>
            </w:r>
            <w:r>
              <w:rPr>
                <w:rFonts w:hint="eastAsia" w:ascii="宋体" w:hAnsi="宋体" w:eastAsia="宋体" w:cs="宋体"/>
                <w:color w:val="auto"/>
                <w:highlight w:val="none"/>
                <w:lang w:eastAsia="zh-CN"/>
              </w:rPr>
              <w:t>最高投标限价</w:t>
            </w:r>
            <w:r>
              <w:rPr>
                <w:rFonts w:hint="eastAsia" w:ascii="宋体" w:hAnsi="宋体" w:eastAsia="宋体" w:cs="宋体"/>
                <w:color w:val="auto"/>
                <w:highlight w:val="none"/>
              </w:rPr>
              <w:t>*95%时，最佳评标价按</w:t>
            </w:r>
            <w:r>
              <w:rPr>
                <w:rFonts w:hint="eastAsia" w:ascii="宋体" w:hAnsi="宋体" w:eastAsia="宋体" w:cs="宋体"/>
                <w:color w:val="auto"/>
                <w:highlight w:val="none"/>
                <w:lang w:eastAsia="zh-CN"/>
              </w:rPr>
              <w:t>最高投标限价</w:t>
            </w:r>
            <w:r>
              <w:rPr>
                <w:rFonts w:hint="eastAsia" w:ascii="宋体" w:hAnsi="宋体" w:eastAsia="宋体" w:cs="宋体"/>
                <w:color w:val="auto"/>
                <w:highlight w:val="none"/>
              </w:rPr>
              <w:t>*（1-K3）。K3取值范围在8-10%，间隔0.5%，开标现场随机抽取产生，投标人可通过直播画面切换进行观看。</w:t>
            </w:r>
          </w:p>
          <w:p w14:paraId="5D7914C8">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（七）评标结束后，招标人宣布中标候选人。公证处工作人员宣读公证词。招标人宣布开标会议结束。</w:t>
            </w:r>
          </w:p>
          <w:p w14:paraId="15573B4F">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三、开标特别说明</w:t>
            </w:r>
          </w:p>
          <w:p w14:paraId="6CCCB2C6">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（一）开标解密使用投标人上传的电子投标文件。</w:t>
            </w:r>
          </w:p>
          <w:p w14:paraId="07E57499">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（二）因投标人原因（包括投标人自主选择的 CA 证书、计价软件、投标工具等），造成其电子投标文件未解密的，或投标文件解密了，但投标文件无法识别、读取的，视为撤回其投标文件。</w:t>
            </w:r>
          </w:p>
          <w:p w14:paraId="2A1503C6">
            <w:pPr>
              <w:pStyle w:val="61"/>
              <w:keepNext w:val="0"/>
              <w:keepLines w:val="0"/>
              <w:pageBreakBefore w:val="0"/>
              <w:widowControl/>
              <w:tabs>
                <w:tab w:val="right" w:leader="dot" w:pos="8295"/>
              </w:tabs>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（三）部分投标人的电子投标文件无法解密（识别、读取）的，其他投标文件的开标可以继续进行，但最终解密（识别、读取）成功的应不少于 3 家。</w:t>
            </w:r>
          </w:p>
          <w:p w14:paraId="5EFDAFE5">
            <w:pPr>
              <w:pStyle w:val="43"/>
              <w:keepNext w:val="0"/>
              <w:keepLines w:val="0"/>
              <w:pageBreakBefore w:val="0"/>
              <w:widowControl/>
              <w:tabs>
                <w:tab w:val="left" w:pos="177"/>
              </w:tabs>
              <w:kinsoku/>
              <w:wordWrap/>
              <w:overflowPunct/>
              <w:topLinePunct w:val="0"/>
              <w:autoSpaceDE/>
              <w:autoSpaceDN/>
              <w:bidi w:val="0"/>
              <w:adjustRightInd w:val="0"/>
              <w:snapToGrid w:val="0"/>
              <w:spacing w:line="240" w:lineRule="auto"/>
              <w:ind w:left="52" w:leftChars="0" w:firstLine="420" w:firstLineChars="20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（四）投标人必须使用生成电子投标文件的 CA 数字证书解密电子投标文件。</w:t>
            </w:r>
          </w:p>
        </w:tc>
      </w:tr>
      <w:tr w14:paraId="4550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E55562E">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6.1.1</w:t>
            </w:r>
          </w:p>
        </w:tc>
        <w:tc>
          <w:tcPr>
            <w:tcW w:w="2266" w:type="dxa"/>
            <w:noWrap w:val="0"/>
            <w:vAlign w:val="center"/>
          </w:tcPr>
          <w:p w14:paraId="6CBB4BDC">
            <w:pPr>
              <w:pStyle w:val="43"/>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评标委员会</w:t>
            </w:r>
          </w:p>
          <w:p w14:paraId="75D6C149">
            <w:pPr>
              <w:pStyle w:val="43"/>
              <w:keepNext w:val="0"/>
              <w:keepLines w:val="0"/>
              <w:pageBreakBefore w:val="0"/>
              <w:widowControl/>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的组建</w:t>
            </w:r>
          </w:p>
        </w:tc>
        <w:tc>
          <w:tcPr>
            <w:tcW w:w="6518" w:type="dxa"/>
            <w:noWrap w:val="0"/>
            <w:vAlign w:val="center"/>
          </w:tcPr>
          <w:p w14:paraId="33F79903">
            <w:pPr>
              <w:pStyle w:val="43"/>
              <w:keepNext w:val="0"/>
              <w:keepLines w:val="0"/>
              <w:pageBreakBefore w:val="0"/>
              <w:widowControl/>
              <w:kinsoku/>
              <w:wordWrap/>
              <w:overflowPunct/>
              <w:topLinePunct w:val="0"/>
              <w:autoSpaceDE/>
              <w:autoSpaceDN/>
              <w:bidi w:val="0"/>
              <w:adjustRightInd w:val="0"/>
              <w:snapToGrid w:val="0"/>
              <w:spacing w:line="240" w:lineRule="auto"/>
              <w:ind w:left="57"/>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rPr>
              <w:t>评标委员会构成：</w:t>
            </w:r>
            <w:r>
              <w:rPr>
                <w:rFonts w:hint="eastAsia" w:ascii="宋体" w:hAnsi="宋体" w:eastAsia="宋体" w:cs="宋体"/>
                <w:i w:val="0"/>
                <w:iCs w:val="0"/>
                <w:color w:val="auto"/>
                <w:spacing w:val="0"/>
                <w:sz w:val="21"/>
                <w:szCs w:val="21"/>
                <w:highlight w:val="none"/>
                <w:u w:val="single"/>
                <w:lang w:val="en-US" w:eastAsia="zh-CN"/>
              </w:rPr>
              <w:t>5</w:t>
            </w:r>
            <w:r>
              <w:rPr>
                <w:rFonts w:hint="eastAsia" w:ascii="宋体" w:hAnsi="宋体" w:eastAsia="宋体" w:cs="宋体"/>
                <w:i w:val="0"/>
                <w:iCs w:val="0"/>
                <w:color w:val="auto"/>
                <w:spacing w:val="0"/>
                <w:sz w:val="21"/>
                <w:szCs w:val="21"/>
                <w:highlight w:val="none"/>
                <w:u w:val="single"/>
              </w:rPr>
              <w:t>人</w:t>
            </w:r>
          </w:p>
          <w:p w14:paraId="51049FEF">
            <w:pPr>
              <w:pStyle w:val="43"/>
              <w:keepNext w:val="0"/>
              <w:keepLines w:val="0"/>
              <w:pageBreakBefore w:val="0"/>
              <w:widowControl/>
              <w:kinsoku/>
              <w:wordWrap/>
              <w:overflowPunct/>
              <w:topLinePunct w:val="0"/>
              <w:autoSpaceDE/>
              <w:autoSpaceDN/>
              <w:bidi w:val="0"/>
              <w:adjustRightInd w:val="0"/>
              <w:snapToGrid w:val="0"/>
              <w:spacing w:line="240" w:lineRule="auto"/>
              <w:ind w:left="57" w:leftChars="0"/>
              <w:jc w:val="both"/>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评标专家确定方式：</w:t>
            </w:r>
            <w:r>
              <w:rPr>
                <w:rFonts w:hint="eastAsia" w:ascii="宋体" w:hAnsi="宋体" w:eastAsia="宋体" w:cs="宋体"/>
                <w:i w:val="0"/>
                <w:iCs w:val="0"/>
                <w:color w:val="auto"/>
                <w:spacing w:val="0"/>
                <w:sz w:val="21"/>
                <w:szCs w:val="21"/>
                <w:highlight w:val="none"/>
                <w:u w:val="single"/>
              </w:rPr>
              <w:t>业主代表</w:t>
            </w:r>
            <w:r>
              <w:rPr>
                <w:rFonts w:hint="eastAsia" w:ascii="宋体" w:hAnsi="宋体" w:eastAsia="宋体" w:cs="宋体"/>
                <w:i w:val="0"/>
                <w:iCs w:val="0"/>
                <w:color w:val="auto"/>
                <w:spacing w:val="0"/>
                <w:sz w:val="21"/>
                <w:szCs w:val="21"/>
                <w:highlight w:val="none"/>
                <w:u w:val="single"/>
                <w:lang w:val="en-US" w:eastAsia="zh-CN"/>
              </w:rPr>
              <w:t>1</w:t>
            </w:r>
            <w:r>
              <w:rPr>
                <w:rFonts w:hint="eastAsia" w:ascii="宋体" w:hAnsi="宋体" w:eastAsia="宋体" w:cs="宋体"/>
                <w:i w:val="0"/>
                <w:iCs w:val="0"/>
                <w:color w:val="auto"/>
                <w:spacing w:val="0"/>
                <w:sz w:val="21"/>
                <w:szCs w:val="21"/>
                <w:highlight w:val="none"/>
                <w:u w:val="single"/>
              </w:rPr>
              <w:t>人和专家评委库随机抽取</w:t>
            </w:r>
            <w:r>
              <w:rPr>
                <w:rFonts w:hint="eastAsia" w:ascii="宋体" w:hAnsi="宋体" w:eastAsia="宋体" w:cs="宋体"/>
                <w:i w:val="0"/>
                <w:iCs w:val="0"/>
                <w:color w:val="auto"/>
                <w:spacing w:val="0"/>
                <w:sz w:val="21"/>
                <w:szCs w:val="21"/>
                <w:highlight w:val="none"/>
                <w:u w:val="single"/>
                <w:lang w:val="en-US" w:eastAsia="zh-CN"/>
              </w:rPr>
              <w:t>4</w:t>
            </w:r>
            <w:r>
              <w:rPr>
                <w:rFonts w:hint="eastAsia" w:ascii="宋体" w:hAnsi="宋体" w:eastAsia="宋体" w:cs="宋体"/>
                <w:i w:val="0"/>
                <w:iCs w:val="0"/>
                <w:color w:val="auto"/>
                <w:spacing w:val="0"/>
                <w:sz w:val="21"/>
                <w:szCs w:val="21"/>
                <w:highlight w:val="none"/>
                <w:u w:val="single"/>
              </w:rPr>
              <w:t>人组成</w:t>
            </w:r>
            <w:r>
              <w:rPr>
                <w:rFonts w:hint="eastAsia" w:ascii="宋体" w:hAnsi="宋体" w:eastAsia="宋体" w:cs="宋体"/>
                <w:i w:val="0"/>
                <w:iCs w:val="0"/>
                <w:color w:val="auto"/>
                <w:spacing w:val="0"/>
                <w:sz w:val="21"/>
                <w:szCs w:val="21"/>
                <w:highlight w:val="none"/>
              </w:rPr>
              <w:t>。</w:t>
            </w:r>
          </w:p>
        </w:tc>
      </w:tr>
      <w:tr w14:paraId="4075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B2D2448">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6.3.1</w:t>
            </w:r>
          </w:p>
        </w:tc>
        <w:tc>
          <w:tcPr>
            <w:tcW w:w="2266" w:type="dxa"/>
            <w:noWrap w:val="0"/>
            <w:vAlign w:val="center"/>
          </w:tcPr>
          <w:p w14:paraId="740A9950">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评标方法</w:t>
            </w:r>
          </w:p>
        </w:tc>
        <w:tc>
          <w:tcPr>
            <w:tcW w:w="6518" w:type="dxa"/>
            <w:noWrap w:val="0"/>
            <w:vAlign w:val="center"/>
          </w:tcPr>
          <w:p w14:paraId="096F83D1">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1.综合评估法：</w:t>
            </w:r>
          </w:p>
          <w:p w14:paraId="4691DFD9">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 xml:space="preserve">（1）适用于技术复杂项目，技术标评分 </w:t>
            </w:r>
            <w:r>
              <w:rPr>
                <w:rFonts w:hint="eastAsia" w:ascii="宋体" w:hAnsi="宋体" w:eastAsia="宋体" w:cs="宋体"/>
                <w:i w:val="0"/>
                <w:iCs w:val="0"/>
                <w:color w:val="auto"/>
                <w:spacing w:val="0"/>
                <w:sz w:val="21"/>
                <w:szCs w:val="21"/>
                <w:highlight w:val="none"/>
                <w:u w:val="single" w:color="auto"/>
                <w:lang w:val="en-US" w:eastAsia="zh-CN"/>
              </w:rPr>
              <w:t>30</w:t>
            </w:r>
            <w:r>
              <w:rPr>
                <w:rFonts w:hint="eastAsia" w:ascii="宋体" w:hAnsi="宋体" w:eastAsia="宋体" w:cs="宋体"/>
                <w:i w:val="0"/>
                <w:iCs w:val="0"/>
                <w:color w:val="auto"/>
                <w:spacing w:val="0"/>
                <w:sz w:val="21"/>
                <w:szCs w:val="21"/>
                <w:highlight w:val="none"/>
              </w:rPr>
              <w:t xml:space="preserve"> 分,资信标评分</w:t>
            </w:r>
            <w:r>
              <w:rPr>
                <w:rFonts w:hint="eastAsia" w:ascii="宋体" w:hAnsi="宋体" w:eastAsia="宋体" w:cs="宋体"/>
                <w:i w:val="0"/>
                <w:iCs w:val="0"/>
                <w:color w:val="auto"/>
                <w:spacing w:val="0"/>
                <w:sz w:val="21"/>
                <w:szCs w:val="21"/>
                <w:highlight w:val="none"/>
                <w:u w:val="single" w:color="auto"/>
                <w:lang w:val="en-US" w:eastAsia="zh-CN"/>
              </w:rPr>
              <w:t>6</w:t>
            </w:r>
            <w:r>
              <w:rPr>
                <w:rFonts w:hint="eastAsia" w:ascii="宋体" w:hAnsi="宋体" w:eastAsia="宋体" w:cs="宋体"/>
                <w:i w:val="0"/>
                <w:iCs w:val="0"/>
                <w:color w:val="auto"/>
                <w:spacing w:val="0"/>
                <w:sz w:val="21"/>
                <w:szCs w:val="21"/>
                <w:highlight w:val="none"/>
              </w:rPr>
              <w:t>分,商务标评分</w:t>
            </w:r>
            <w:r>
              <w:rPr>
                <w:rFonts w:hint="eastAsia" w:ascii="宋体" w:hAnsi="宋体" w:eastAsia="宋体" w:cs="宋体"/>
                <w:i w:val="0"/>
                <w:iCs w:val="0"/>
                <w:color w:val="auto"/>
                <w:spacing w:val="0"/>
                <w:sz w:val="21"/>
                <w:szCs w:val="21"/>
                <w:highlight w:val="none"/>
                <w:u w:val="single" w:color="auto"/>
                <w:lang w:val="en-US" w:eastAsia="zh-CN"/>
              </w:rPr>
              <w:t>64</w:t>
            </w:r>
            <w:r>
              <w:rPr>
                <w:rFonts w:hint="eastAsia" w:ascii="宋体" w:hAnsi="宋体" w:eastAsia="宋体" w:cs="宋体"/>
                <w:i w:val="0"/>
                <w:iCs w:val="0"/>
                <w:color w:val="auto"/>
                <w:spacing w:val="0"/>
                <w:sz w:val="21"/>
                <w:szCs w:val="21"/>
                <w:highlight w:val="none"/>
              </w:rPr>
              <w:t xml:space="preserve"> 分 。</w:t>
            </w:r>
          </w:p>
          <w:p w14:paraId="479CE34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（2）适用于非技术复杂项目，技术标评分</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u w:val="single" w:color="auto"/>
                <w:lang w:val="en-US" w:eastAsia="zh-CN"/>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分,资信标评分</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u w:val="single" w:color="auto"/>
                <w:lang w:val="en-US" w:eastAsia="zh-CN"/>
              </w:rPr>
              <w:t xml:space="preserve"> </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分,商务标评分</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u w:val="single" w:color="auto"/>
                <w:lang w:val="en-US" w:eastAsia="zh-CN"/>
              </w:rPr>
              <w:t xml:space="preserve">  </w:t>
            </w:r>
            <w:r>
              <w:rPr>
                <w:rFonts w:hint="eastAsia" w:ascii="宋体" w:hAnsi="宋体" w:eastAsia="宋体" w:cs="宋体"/>
                <w:i w:val="0"/>
                <w:iCs w:val="0"/>
                <w:color w:val="auto"/>
                <w:spacing w:val="0"/>
                <w:sz w:val="21"/>
                <w:szCs w:val="21"/>
                <w:highlight w:val="none"/>
              </w:rPr>
              <w:t>分。</w:t>
            </w:r>
          </w:p>
          <w:p w14:paraId="6416C2DC">
            <w:pPr>
              <w:pStyle w:val="43"/>
              <w:keepNext w:val="0"/>
              <w:keepLines w:val="0"/>
              <w:pageBreakBefore w:val="0"/>
              <w:widowControl/>
              <w:kinsoku/>
              <w:wordWrap/>
              <w:overflowPunct/>
              <w:topLinePunct w:val="0"/>
              <w:autoSpaceDE/>
              <w:autoSpaceDN/>
              <w:bidi w:val="0"/>
              <w:adjustRightInd w:val="0"/>
              <w:snapToGrid w:val="0"/>
              <w:spacing w:line="240" w:lineRule="auto"/>
              <w:ind w:left="86" w:leftChars="0"/>
              <w:jc w:val="both"/>
              <w:textAlignment w:val="auto"/>
              <w:outlineLvl w:val="9"/>
              <w:rPr>
                <w:rFonts w:hint="eastAsia" w:ascii="宋体" w:hAnsi="宋体" w:eastAsia="宋体" w:cs="宋体"/>
                <w:i w:val="0"/>
                <w:iCs w:val="0"/>
                <w:color w:val="auto"/>
                <w:spacing w:val="0"/>
                <w:kern w:val="2"/>
                <w:sz w:val="21"/>
                <w:szCs w:val="21"/>
                <w:highlight w:val="none"/>
                <w:lang w:val="en-US" w:eastAsia="en-US" w:bidi="ar-SA"/>
              </w:rPr>
            </w:pPr>
            <w:r>
              <w:rPr>
                <w:rFonts w:hint="eastAsia" w:ascii="宋体" w:hAnsi="宋体" w:eastAsia="宋体" w:cs="宋体"/>
                <w:i w:val="0"/>
                <w:iCs w:val="0"/>
                <w:color w:val="auto"/>
                <w:spacing w:val="0"/>
                <w:sz w:val="21"/>
                <w:szCs w:val="21"/>
                <w:highlight w:val="none"/>
              </w:rPr>
              <w:t>□2.其他</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u w:val="single" w:color="auto"/>
                <w:lang w:val="en-US" w:eastAsia="zh-CN"/>
              </w:rPr>
              <w:t>/</w:t>
            </w:r>
            <w:r>
              <w:rPr>
                <w:rFonts w:hint="eastAsia" w:ascii="宋体" w:hAnsi="宋体" w:eastAsia="宋体" w:cs="宋体"/>
                <w:i w:val="0"/>
                <w:iCs w:val="0"/>
                <w:color w:val="auto"/>
                <w:spacing w:val="0"/>
                <w:sz w:val="21"/>
                <w:szCs w:val="21"/>
                <w:highlight w:val="none"/>
                <w:u w:val="single" w:color="auto"/>
              </w:rPr>
              <w:t xml:space="preserve">   </w:t>
            </w:r>
            <w:r>
              <w:rPr>
                <w:rFonts w:hint="eastAsia" w:ascii="宋体" w:hAnsi="宋体" w:eastAsia="宋体" w:cs="宋体"/>
                <w:i w:val="0"/>
                <w:iCs w:val="0"/>
                <w:color w:val="auto"/>
                <w:spacing w:val="0"/>
                <w:sz w:val="21"/>
                <w:szCs w:val="21"/>
                <w:highlight w:val="none"/>
              </w:rPr>
              <w:t>。</w:t>
            </w:r>
          </w:p>
        </w:tc>
      </w:tr>
      <w:tr w14:paraId="1AC1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29272FA2">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6.3.2</w:t>
            </w:r>
          </w:p>
        </w:tc>
        <w:tc>
          <w:tcPr>
            <w:tcW w:w="2266" w:type="dxa"/>
            <w:noWrap w:val="0"/>
            <w:vAlign w:val="center"/>
          </w:tcPr>
          <w:p w14:paraId="19010FE9">
            <w:pPr>
              <w:pStyle w:val="43"/>
              <w:keepNext w:val="0"/>
              <w:keepLines w:val="0"/>
              <w:pageBreakBefore w:val="0"/>
              <w:widowControl/>
              <w:kinsoku/>
              <w:wordWrap/>
              <w:overflowPunct/>
              <w:topLinePunct w:val="0"/>
              <w:autoSpaceDE/>
              <w:autoSpaceDN/>
              <w:bidi w:val="0"/>
              <w:adjustRightInd w:val="0"/>
              <w:snapToGrid w:val="0"/>
              <w:spacing w:line="240" w:lineRule="auto"/>
              <w:ind w:left="133" w:lef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评标委员会推荐中标候选人的人数和是否排序</w:t>
            </w:r>
          </w:p>
        </w:tc>
        <w:tc>
          <w:tcPr>
            <w:tcW w:w="6518" w:type="dxa"/>
            <w:noWrap w:val="0"/>
            <w:vAlign w:val="center"/>
          </w:tcPr>
          <w:p w14:paraId="3695A52B">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（应根据法律法规及相关文件要求填写）</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3E135CB8">
            <w:pPr>
              <w:pStyle w:val="43"/>
              <w:keepNext w:val="0"/>
              <w:keepLines w:val="0"/>
              <w:pageBreakBefore w:val="0"/>
              <w:widowControl/>
              <w:kinsoku/>
              <w:wordWrap/>
              <w:overflowPunct/>
              <w:topLinePunct w:val="0"/>
              <w:autoSpaceDE/>
              <w:autoSpaceDN/>
              <w:bidi w:val="0"/>
              <w:adjustRightInd w:val="0"/>
              <w:snapToGrid w:val="0"/>
              <w:spacing w:line="240" w:lineRule="auto"/>
              <w:ind w:left="50" w:leftChars="0" w:firstLine="36" w:firstLine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2.评定分离：</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不排序的方式向招标人推荐 3-5名中标候选人（如有效投标≤6家的应推荐3名，有效投标人7-9家的应推荐4名</w:t>
            </w:r>
            <w:r>
              <w:rPr>
                <w:rFonts w:hint="eastAsia" w:ascii="宋体" w:hAnsi="宋体" w:eastAsia="宋体" w:cs="宋体"/>
                <w:i w:val="0"/>
                <w:iCs w:val="0"/>
                <w:color w:val="000000" w:themeColor="text1"/>
                <w:spacing w:val="0"/>
                <w:sz w:val="21"/>
                <w:szCs w:val="21"/>
                <w:highlight w:val="none"/>
                <w:u w:val="singl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有效投标人10家以上的应推荐5名</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4472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1E92C23">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7.</w:t>
            </w: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.1</w:t>
            </w:r>
          </w:p>
        </w:tc>
        <w:tc>
          <w:tcPr>
            <w:tcW w:w="2266" w:type="dxa"/>
            <w:noWrap w:val="0"/>
            <w:vAlign w:val="center"/>
          </w:tcPr>
          <w:p w14:paraId="6103BA69">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i w:val="0"/>
                <w:iCs w:val="0"/>
                <w:color w:val="000000"/>
                <w:sz w:val="21"/>
                <w:szCs w:val="21"/>
                <w:highlight w:val="none"/>
              </w:rPr>
              <w:t>确定中标人</w:t>
            </w:r>
          </w:p>
        </w:tc>
        <w:tc>
          <w:tcPr>
            <w:tcW w:w="6518" w:type="dxa"/>
            <w:noWrap w:val="0"/>
            <w:vAlign w:val="center"/>
          </w:tcPr>
          <w:p w14:paraId="43FA1ADB">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eastAsia" w:ascii="宋体" w:hAnsi="宋体" w:eastAsia="宋体" w:cs="宋体"/>
                <w:i w:val="0"/>
                <w:iCs w:val="0"/>
                <w:color w:val="000000"/>
                <w:sz w:val="21"/>
                <w:szCs w:val="21"/>
                <w:highlight w:val="none"/>
                <w:u w:val="none"/>
                <w:shd w:val="clear" w:color="auto" w:fill="auto"/>
                <w:lang w:val="en-US" w:eastAsia="zh-CN"/>
              </w:rPr>
            </w:pPr>
            <w:r>
              <w:rPr>
                <w:rFonts w:hint="default" w:ascii="宋体" w:hAnsi="宋体" w:eastAsia="宋体" w:cs="宋体"/>
                <w:i w:val="0"/>
                <w:iCs w:val="0"/>
                <w:color w:val="000000"/>
                <w:sz w:val="21"/>
                <w:szCs w:val="21"/>
                <w:highlight w:val="none"/>
                <w:u w:val="none"/>
                <w:shd w:val="clear" w:color="auto" w:fill="auto"/>
                <w:lang w:val="en-US" w:eastAsia="zh-CN"/>
              </w:rPr>
              <w:t>□</w:t>
            </w:r>
            <w:r>
              <w:rPr>
                <w:rFonts w:hint="eastAsia" w:ascii="宋体" w:hAnsi="宋体" w:eastAsia="宋体" w:cs="宋体"/>
                <w:i w:val="0"/>
                <w:iCs w:val="0"/>
                <w:color w:val="000000"/>
                <w:sz w:val="21"/>
                <w:szCs w:val="21"/>
                <w:highlight w:val="none"/>
                <w:u w:val="none"/>
                <w:shd w:val="clear" w:color="auto" w:fill="auto"/>
                <w:lang w:val="en-US" w:eastAsia="zh-CN"/>
              </w:rPr>
              <w:t>授权评标委员会确定中标人</w:t>
            </w:r>
            <w:r>
              <w:rPr>
                <w:rFonts w:hint="default" w:ascii="宋体" w:hAnsi="宋体" w:eastAsia="宋体" w:cs="宋体"/>
                <w:i w:val="0"/>
                <w:iCs w:val="0"/>
                <w:color w:val="000000"/>
                <w:sz w:val="21"/>
                <w:szCs w:val="21"/>
                <w:highlight w:val="none"/>
                <w:u w:val="none"/>
                <w:shd w:val="clear" w:color="auto" w:fill="auto"/>
                <w:lang w:val="en-US" w:eastAsia="zh-CN"/>
              </w:rPr>
              <w:t>。</w:t>
            </w:r>
          </w:p>
          <w:p w14:paraId="0F92B636">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default" w:ascii="宋体" w:hAnsi="宋体" w:eastAsia="宋体" w:cs="宋体"/>
                <w:i w:val="0"/>
                <w:iCs w:val="0"/>
                <w:color w:val="000000"/>
                <w:sz w:val="21"/>
                <w:szCs w:val="21"/>
                <w:highlight w:val="none"/>
                <w:u w:val="none"/>
                <w:shd w:val="clear" w:color="auto" w:fill="auto"/>
                <w:lang w:val="en-US" w:eastAsia="zh-CN"/>
              </w:rPr>
            </w:pPr>
            <w:r>
              <w:rPr>
                <w:rFonts w:hint="eastAsia" w:ascii="宋体" w:hAnsi="宋体" w:cs="宋体"/>
                <w:i w:val="0"/>
                <w:iCs w:val="0"/>
                <w:color w:val="000000"/>
                <w:sz w:val="21"/>
                <w:szCs w:val="21"/>
                <w:highlight w:val="none"/>
                <w:u w:val="none"/>
                <w:shd w:val="clear" w:color="auto" w:fill="auto"/>
                <w:lang w:val="en-US" w:eastAsia="zh-CN"/>
              </w:rPr>
              <w:t>□</w:t>
            </w:r>
            <w:r>
              <w:rPr>
                <w:rFonts w:hint="eastAsia" w:ascii="宋体" w:hAnsi="宋体" w:eastAsia="宋体" w:cs="宋体"/>
                <w:i w:val="0"/>
                <w:iCs w:val="0"/>
                <w:color w:val="000000"/>
                <w:sz w:val="21"/>
                <w:szCs w:val="21"/>
                <w:highlight w:val="none"/>
                <w:u w:val="none"/>
                <w:shd w:val="clear" w:color="auto" w:fill="auto"/>
                <w:lang w:val="en-US" w:eastAsia="zh-CN"/>
              </w:rPr>
              <w:t>根据评标委员会推荐，由招标人确定中标人</w:t>
            </w:r>
            <w:r>
              <w:rPr>
                <w:rFonts w:hint="default" w:ascii="宋体" w:hAnsi="宋体" w:eastAsia="宋体" w:cs="宋体"/>
                <w:i w:val="0"/>
                <w:iCs w:val="0"/>
                <w:color w:val="000000"/>
                <w:sz w:val="21"/>
                <w:szCs w:val="21"/>
                <w:highlight w:val="none"/>
                <w:u w:val="none"/>
                <w:shd w:val="clear" w:color="auto" w:fill="auto"/>
                <w:lang w:val="en-US" w:eastAsia="zh-CN"/>
              </w:rPr>
              <w:t>。</w:t>
            </w:r>
          </w:p>
          <w:p w14:paraId="522627AE">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default" w:ascii="宋体" w:hAnsi="宋体" w:eastAsia="宋体" w:cs="宋体"/>
                <w:i w:val="0"/>
                <w:iCs w:val="0"/>
                <w:color w:val="000000"/>
                <w:sz w:val="21"/>
                <w:szCs w:val="21"/>
                <w:highlight w:val="none"/>
                <w:u w:val="none"/>
                <w:shd w:val="clear" w:color="auto" w:fill="auto"/>
                <w:lang w:val="en-US" w:eastAsia="zh-CN"/>
              </w:rPr>
            </w:pPr>
            <w:r>
              <w:rPr>
                <w:rFonts w:hint="eastAsia" w:ascii="宋体" w:hAnsi="宋体" w:cs="宋体"/>
                <w:i w:val="0"/>
                <w:iCs w:val="0"/>
                <w:color w:val="000000"/>
                <w:sz w:val="21"/>
                <w:szCs w:val="21"/>
                <w:highlight w:val="none"/>
                <w:u w:val="none"/>
                <w:shd w:val="clear" w:color="auto" w:fill="auto"/>
                <w:lang w:val="en-US" w:eastAsia="zh-CN"/>
              </w:rPr>
              <w:t>☑</w:t>
            </w:r>
            <w:r>
              <w:rPr>
                <w:rFonts w:hint="eastAsia" w:ascii="宋体" w:hAnsi="宋体" w:eastAsia="宋体" w:cs="宋体"/>
                <w:i w:val="0"/>
                <w:iCs w:val="0"/>
                <w:color w:val="000000"/>
                <w:sz w:val="21"/>
                <w:szCs w:val="21"/>
                <w:highlight w:val="none"/>
                <w:u w:val="none"/>
                <w:shd w:val="clear" w:color="auto" w:fill="auto"/>
                <w:lang w:val="en-US" w:eastAsia="zh-CN"/>
              </w:rPr>
              <w:t>评定分离，根据评标委员会推荐，另行组织定标会议，由定标委员会确定中标人</w:t>
            </w:r>
            <w:r>
              <w:rPr>
                <w:rFonts w:hint="default" w:ascii="宋体" w:hAnsi="宋体" w:eastAsia="宋体" w:cs="宋体"/>
                <w:i w:val="0"/>
                <w:iCs w:val="0"/>
                <w:color w:val="000000"/>
                <w:sz w:val="21"/>
                <w:szCs w:val="21"/>
                <w:highlight w:val="none"/>
                <w:u w:val="none"/>
                <w:shd w:val="clear" w:color="auto" w:fill="auto"/>
                <w:lang w:val="en-US" w:eastAsia="zh-CN"/>
              </w:rPr>
              <w:t>。</w:t>
            </w:r>
          </w:p>
          <w:p w14:paraId="7160E80F">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firstLineChars="0"/>
              <w:jc w:val="left"/>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i w:val="0"/>
                <w:iCs w:val="0"/>
                <w:color w:val="000000"/>
                <w:sz w:val="21"/>
                <w:szCs w:val="21"/>
                <w:highlight w:val="none"/>
                <w:u w:val="none"/>
                <w:shd w:val="clear" w:color="auto" w:fill="auto"/>
                <w:lang w:val="en-US" w:eastAsia="zh-CN"/>
              </w:rPr>
              <w:t>□</w:t>
            </w:r>
            <w:r>
              <w:rPr>
                <w:rFonts w:hint="default" w:ascii="宋体" w:hAnsi="宋体" w:eastAsia="宋体" w:cs="宋体"/>
                <w:i w:val="0"/>
                <w:iCs w:val="0"/>
                <w:color w:val="000000"/>
                <w:sz w:val="21"/>
                <w:szCs w:val="21"/>
                <w:highlight w:val="none"/>
                <w:u w:val="none"/>
                <w:shd w:val="clear" w:color="auto" w:fill="auto"/>
                <w:lang w:val="en-US" w:eastAsia="zh-CN"/>
              </w:rPr>
              <w:t>其他：</w:t>
            </w:r>
            <w:r>
              <w:rPr>
                <w:rFonts w:hint="eastAsia" w:ascii="宋体" w:hAnsi="宋体" w:eastAsia="宋体" w:cs="宋体"/>
                <w:i w:val="0"/>
                <w:iCs w:val="0"/>
                <w:color w:val="000000"/>
                <w:sz w:val="21"/>
                <w:szCs w:val="21"/>
                <w:highlight w:val="none"/>
                <w:u w:val="single"/>
                <w:shd w:val="clear" w:color="auto" w:fill="auto"/>
                <w:lang w:val="en-US" w:eastAsia="zh-CN"/>
              </w:rPr>
              <w:t xml:space="preserve">              </w:t>
            </w:r>
            <w:r>
              <w:rPr>
                <w:rFonts w:hint="default" w:ascii="宋体" w:hAnsi="宋体" w:eastAsia="宋体" w:cs="宋体"/>
                <w:i w:val="0"/>
                <w:iCs w:val="0"/>
                <w:color w:val="000000"/>
                <w:sz w:val="21"/>
                <w:szCs w:val="21"/>
                <w:highlight w:val="none"/>
                <w:u w:val="none"/>
                <w:shd w:val="clear" w:color="auto" w:fill="auto"/>
                <w:lang w:val="en-US" w:eastAsia="zh-CN"/>
              </w:rPr>
              <w:t>。</w:t>
            </w:r>
          </w:p>
        </w:tc>
      </w:tr>
      <w:tr w14:paraId="5E91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4F11C09">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7.</w:t>
            </w: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.3</w:t>
            </w:r>
          </w:p>
        </w:tc>
        <w:tc>
          <w:tcPr>
            <w:tcW w:w="2266" w:type="dxa"/>
            <w:noWrap w:val="0"/>
            <w:vAlign w:val="center"/>
          </w:tcPr>
          <w:p w14:paraId="40C08608">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cs="宋体"/>
                <w:i w:val="0"/>
                <w:iCs w:val="0"/>
                <w:color w:val="000000"/>
                <w:sz w:val="21"/>
                <w:szCs w:val="21"/>
                <w:highlight w:val="none"/>
                <w:lang w:eastAsia="zh-CN"/>
              </w:rPr>
              <w:t>☑</w:t>
            </w:r>
            <w:r>
              <w:rPr>
                <w:rFonts w:hint="eastAsia" w:ascii="宋体" w:hAnsi="宋体" w:eastAsia="宋体" w:cs="宋体"/>
                <w:i w:val="0"/>
                <w:iCs w:val="0"/>
                <w:color w:val="000000"/>
                <w:sz w:val="21"/>
                <w:szCs w:val="21"/>
                <w:highlight w:val="none"/>
                <w:lang w:val="en-US" w:eastAsia="zh-CN"/>
              </w:rPr>
              <w:t>定标会议地点和时间</w:t>
            </w:r>
          </w:p>
        </w:tc>
        <w:tc>
          <w:tcPr>
            <w:tcW w:w="6518" w:type="dxa"/>
            <w:noWrap w:val="0"/>
            <w:vAlign w:val="center"/>
          </w:tcPr>
          <w:p w14:paraId="33BD8840">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eastAsia" w:ascii="宋体" w:hAnsi="宋体" w:eastAsia="宋体" w:cs="宋体"/>
                <w:i w:val="0"/>
                <w:iCs w:val="0"/>
                <w:color w:val="000000"/>
                <w:sz w:val="21"/>
                <w:szCs w:val="21"/>
                <w:highlight w:val="none"/>
                <w:u w:val="none"/>
                <w:shd w:val="clear" w:color="auto" w:fill="auto"/>
                <w:lang w:val="en-US" w:eastAsia="zh-CN"/>
              </w:rPr>
            </w:pPr>
            <w:r>
              <w:rPr>
                <w:rFonts w:hint="eastAsia" w:ascii="宋体" w:hAnsi="宋体" w:eastAsia="宋体" w:cs="宋体"/>
                <w:i w:val="0"/>
                <w:iCs w:val="0"/>
                <w:color w:val="000000"/>
                <w:sz w:val="21"/>
                <w:szCs w:val="21"/>
                <w:highlight w:val="none"/>
                <w:u w:val="none"/>
                <w:shd w:val="clear" w:color="auto" w:fill="auto"/>
                <w:lang w:val="en-US" w:eastAsia="zh-CN"/>
              </w:rPr>
              <w:t>□1.定标时间：</w:t>
            </w:r>
            <w:r>
              <w:rPr>
                <w:rFonts w:hint="eastAsia" w:ascii="宋体" w:hAnsi="宋体" w:eastAsia="宋体" w:cs="宋体"/>
                <w:i w:val="0"/>
                <w:iCs w:val="0"/>
                <w:color w:val="000000"/>
                <w:sz w:val="21"/>
                <w:szCs w:val="21"/>
                <w:highlight w:val="none"/>
                <w:u w:val="single"/>
                <w:shd w:val="clear" w:color="auto" w:fill="auto"/>
                <w:lang w:val="en-US" w:eastAsia="zh-CN"/>
              </w:rPr>
              <w:t xml:space="preserve">                 </w:t>
            </w:r>
            <w:r>
              <w:rPr>
                <w:rFonts w:hint="eastAsia" w:ascii="宋体" w:hAnsi="宋体" w:eastAsia="宋体" w:cs="宋体"/>
                <w:i w:val="0"/>
                <w:iCs w:val="0"/>
                <w:color w:val="000000"/>
                <w:sz w:val="21"/>
                <w:szCs w:val="21"/>
                <w:highlight w:val="none"/>
                <w:u w:val="none"/>
                <w:shd w:val="clear" w:color="auto" w:fill="auto"/>
                <w:lang w:val="en-US" w:eastAsia="zh-CN"/>
              </w:rPr>
              <w:t>。</w:t>
            </w:r>
          </w:p>
          <w:p w14:paraId="773102ED">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default" w:ascii="宋体" w:hAnsi="宋体" w:eastAsia="宋体" w:cs="宋体"/>
                <w:i w:val="0"/>
                <w:iCs w:val="0"/>
                <w:color w:val="000000"/>
                <w:sz w:val="21"/>
                <w:szCs w:val="21"/>
                <w:highlight w:val="none"/>
                <w:u w:val="none"/>
                <w:shd w:val="clear" w:color="auto" w:fill="auto"/>
                <w:lang w:val="en-US" w:eastAsia="zh-CN"/>
              </w:rPr>
            </w:pPr>
            <w:r>
              <w:rPr>
                <w:rFonts w:hint="eastAsia" w:ascii="宋体" w:hAnsi="宋体" w:cs="宋体"/>
                <w:i w:val="0"/>
                <w:iCs w:val="0"/>
                <w:color w:val="000000"/>
                <w:sz w:val="21"/>
                <w:szCs w:val="21"/>
                <w:highlight w:val="none"/>
                <w:u w:val="none"/>
                <w:shd w:val="clear" w:color="auto" w:fill="auto"/>
                <w:lang w:val="en-US" w:eastAsia="zh-CN"/>
              </w:rPr>
              <w:t>☑</w:t>
            </w:r>
            <w:r>
              <w:rPr>
                <w:rFonts w:hint="eastAsia" w:ascii="宋体" w:hAnsi="宋体" w:eastAsia="宋体" w:cs="宋体"/>
                <w:i w:val="0"/>
                <w:iCs w:val="0"/>
                <w:color w:val="000000"/>
                <w:sz w:val="21"/>
                <w:szCs w:val="21"/>
                <w:highlight w:val="none"/>
                <w:u w:val="none"/>
                <w:shd w:val="clear" w:color="auto" w:fill="auto"/>
                <w:lang w:val="en-US" w:eastAsia="zh-CN"/>
              </w:rPr>
              <w:t>2.定标地点：</w:t>
            </w:r>
            <w:r>
              <w:rPr>
                <w:rFonts w:hint="eastAsia" w:ascii="宋体" w:hAnsi="宋体" w:eastAsia="宋体" w:cs="宋体"/>
                <w:i/>
                <w:iCs/>
                <w:color w:val="000000"/>
                <w:sz w:val="21"/>
                <w:szCs w:val="21"/>
                <w:highlight w:val="none"/>
                <w:u w:val="single"/>
                <w:shd w:val="clear" w:color="auto" w:fill="auto"/>
                <w:lang w:val="en-US" w:eastAsia="zh-CN"/>
              </w:rPr>
              <w:t>同开标评标地点</w:t>
            </w:r>
            <w:r>
              <w:rPr>
                <w:rFonts w:hint="default" w:ascii="宋体" w:hAnsi="宋体" w:eastAsia="宋体" w:cs="宋体"/>
                <w:i w:val="0"/>
                <w:iCs w:val="0"/>
                <w:color w:val="000000"/>
                <w:sz w:val="21"/>
                <w:szCs w:val="21"/>
                <w:highlight w:val="none"/>
                <w:u w:val="none"/>
                <w:shd w:val="clear" w:color="auto" w:fill="auto"/>
                <w:lang w:val="en-US" w:eastAsia="zh-CN"/>
              </w:rPr>
              <w:t>。</w:t>
            </w:r>
          </w:p>
          <w:p w14:paraId="6680A201">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firstLineChars="0"/>
              <w:jc w:val="left"/>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cs="宋体"/>
                <w:i w:val="0"/>
                <w:iCs w:val="0"/>
                <w:color w:val="000000"/>
                <w:sz w:val="21"/>
                <w:szCs w:val="21"/>
                <w:highlight w:val="none"/>
                <w:u w:val="none"/>
                <w:shd w:val="clear" w:color="auto" w:fill="auto"/>
                <w:lang w:val="en-US" w:eastAsia="zh-CN"/>
              </w:rPr>
              <w:t>☑</w:t>
            </w:r>
            <w:r>
              <w:rPr>
                <w:rFonts w:hint="eastAsia" w:ascii="宋体" w:hAnsi="宋体" w:eastAsia="宋体" w:cs="宋体"/>
                <w:i w:val="0"/>
                <w:iCs w:val="0"/>
                <w:color w:val="000000"/>
                <w:sz w:val="21"/>
                <w:szCs w:val="21"/>
                <w:highlight w:val="none"/>
                <w:u w:val="none"/>
                <w:shd w:val="clear" w:color="auto" w:fill="auto"/>
                <w:lang w:val="en-US" w:eastAsia="zh-CN"/>
              </w:rPr>
              <w:t>招标人根据相关规定在评标结果公示结束后10日内召开定标会议。</w:t>
            </w:r>
          </w:p>
        </w:tc>
      </w:tr>
      <w:tr w14:paraId="2991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27CD754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7.1.4</w:t>
            </w:r>
          </w:p>
        </w:tc>
        <w:tc>
          <w:tcPr>
            <w:tcW w:w="2266" w:type="dxa"/>
            <w:noWrap w:val="0"/>
            <w:vAlign w:val="center"/>
          </w:tcPr>
          <w:p w14:paraId="322C2894">
            <w:pPr>
              <w:pStyle w:val="43"/>
              <w:keepNext w:val="0"/>
              <w:keepLines w:val="0"/>
              <w:pageBreakBefore w:val="0"/>
              <w:widowControl/>
              <w:kinsoku/>
              <w:wordWrap/>
              <w:overflowPunct/>
              <w:topLinePunct w:val="0"/>
              <w:autoSpaceDE/>
              <w:autoSpaceDN/>
              <w:bidi w:val="0"/>
              <w:adjustRightInd w:val="0"/>
              <w:snapToGrid w:val="0"/>
              <w:spacing w:line="240" w:lineRule="auto"/>
              <w:ind w:left="159" w:lef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考察、质询</w:t>
            </w:r>
          </w:p>
        </w:tc>
        <w:tc>
          <w:tcPr>
            <w:tcW w:w="6518" w:type="dxa"/>
            <w:noWrap w:val="0"/>
            <w:vAlign w:val="center"/>
          </w:tcPr>
          <w:p w14:paraId="3A92CD32">
            <w:pPr>
              <w:pStyle w:val="43"/>
              <w:keepNext w:val="0"/>
              <w:keepLines w:val="0"/>
              <w:pageBreakBefore w:val="0"/>
              <w:widowControl/>
              <w:kinsoku/>
              <w:wordWrap/>
              <w:overflowPunct/>
              <w:topLinePunct w:val="0"/>
              <w:autoSpaceDE/>
              <w:autoSpaceDN/>
              <w:bidi w:val="0"/>
              <w:adjustRightInd w:val="0"/>
              <w:snapToGrid w:val="0"/>
              <w:spacing w:line="240" w:lineRule="auto"/>
              <w:ind w:left="64" w:right="60" w:firstLine="2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1.在定标会议前（考察、质询应给予中标候选人合理的准备时间。）对所有中标候选人进行考察、质询。</w:t>
            </w:r>
          </w:p>
          <w:p w14:paraId="78F43AAA">
            <w:pPr>
              <w:pStyle w:val="43"/>
              <w:keepNext w:val="0"/>
              <w:keepLines w:val="0"/>
              <w:pageBreakBefore w:val="0"/>
              <w:widowControl/>
              <w:kinsoku/>
              <w:wordWrap/>
              <w:overflowPunct/>
              <w:topLinePunct w:val="0"/>
              <w:autoSpaceDE/>
              <w:autoSpaceDN/>
              <w:bidi w:val="0"/>
              <w:adjustRightInd w:val="0"/>
              <w:snapToGrid w:val="0"/>
              <w:spacing w:line="240" w:lineRule="auto"/>
              <w:ind w:left="86"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2.考察、质询小组由</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（3人及以上单数）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组成。</w:t>
            </w:r>
          </w:p>
        </w:tc>
      </w:tr>
      <w:tr w14:paraId="0819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229D3A66">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7.</w:t>
            </w: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.5</w:t>
            </w:r>
          </w:p>
        </w:tc>
        <w:tc>
          <w:tcPr>
            <w:tcW w:w="2266" w:type="dxa"/>
            <w:noWrap w:val="0"/>
            <w:vAlign w:val="center"/>
          </w:tcPr>
          <w:p w14:paraId="493CE7BF">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cs="宋体"/>
                <w:i w:val="0"/>
                <w:iCs w:val="0"/>
                <w:color w:val="000000"/>
                <w:sz w:val="21"/>
                <w:szCs w:val="21"/>
                <w:highlight w:val="none"/>
                <w:lang w:eastAsia="zh-CN"/>
              </w:rPr>
              <w:t>☑</w:t>
            </w:r>
            <w:r>
              <w:rPr>
                <w:rFonts w:hint="default" w:ascii="宋体" w:hAnsi="宋体" w:eastAsia="宋体" w:cs="宋体"/>
                <w:i w:val="0"/>
                <w:iCs w:val="0"/>
                <w:color w:val="000000"/>
                <w:sz w:val="21"/>
                <w:szCs w:val="21"/>
                <w:highlight w:val="none"/>
                <w:lang w:eastAsia="zh-CN"/>
              </w:rPr>
              <w:t>定标委员会</w:t>
            </w:r>
            <w:r>
              <w:rPr>
                <w:rFonts w:hint="eastAsia" w:ascii="宋体" w:hAnsi="宋体" w:eastAsia="宋体" w:cs="宋体"/>
                <w:i w:val="0"/>
                <w:iCs w:val="0"/>
                <w:color w:val="000000"/>
                <w:sz w:val="21"/>
                <w:szCs w:val="21"/>
                <w:highlight w:val="none"/>
                <w:lang w:val="en-US" w:eastAsia="zh-CN"/>
              </w:rPr>
              <w:t>的组建</w:t>
            </w:r>
          </w:p>
        </w:tc>
        <w:tc>
          <w:tcPr>
            <w:tcW w:w="6518" w:type="dxa"/>
            <w:noWrap w:val="0"/>
            <w:vAlign w:val="center"/>
          </w:tcPr>
          <w:p w14:paraId="221F63E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i w:val="0"/>
                <w:iCs w:val="0"/>
                <w:color w:val="000000"/>
                <w:kern w:val="2"/>
                <w:sz w:val="21"/>
                <w:szCs w:val="21"/>
                <w:highlight w:val="none"/>
                <w:lang w:val="en-US" w:eastAsia="zh-CN" w:bidi="ar-SA"/>
              </w:rPr>
            </w:pPr>
            <w:r>
              <w:rPr>
                <w:rFonts w:hint="eastAsia" w:ascii="宋体" w:hAnsi="宋体" w:eastAsia="宋体" w:cs="宋体"/>
                <w:b/>
                <w:bCs/>
                <w:i w:val="0"/>
                <w:iCs w:val="0"/>
                <w:color w:val="000000"/>
                <w:kern w:val="2"/>
                <w:sz w:val="21"/>
                <w:szCs w:val="21"/>
                <w:highlight w:val="none"/>
                <w:u w:val="none"/>
                <w:shd w:val="clear" w:color="auto" w:fill="auto"/>
                <w:lang w:val="en-US" w:eastAsia="zh-CN" w:bidi="ar-SA"/>
              </w:rPr>
              <w:t>定标委员会：定标委员会备选名单人员由招标人组建。定标委员会构成：</w:t>
            </w:r>
            <w:r>
              <w:rPr>
                <w:rFonts w:hint="eastAsia" w:ascii="宋体" w:hAnsi="宋体" w:eastAsia="宋体" w:cs="宋体"/>
                <w:b/>
                <w:bCs/>
                <w:i w:val="0"/>
                <w:iCs w:val="0"/>
                <w:color w:val="000000"/>
                <w:kern w:val="2"/>
                <w:sz w:val="21"/>
                <w:szCs w:val="21"/>
                <w:highlight w:val="none"/>
                <w:u w:val="single"/>
                <w:shd w:val="clear" w:color="auto" w:fill="auto"/>
                <w:lang w:val="en-US" w:eastAsia="zh-CN" w:bidi="ar-SA"/>
              </w:rPr>
              <w:t>5</w:t>
            </w:r>
            <w:r>
              <w:rPr>
                <w:rFonts w:hint="eastAsia" w:ascii="宋体" w:hAnsi="宋体" w:eastAsia="宋体" w:cs="宋体"/>
                <w:b/>
                <w:bCs/>
                <w:i w:val="0"/>
                <w:iCs w:val="0"/>
                <w:color w:val="000000"/>
                <w:kern w:val="2"/>
                <w:sz w:val="21"/>
                <w:szCs w:val="21"/>
                <w:highlight w:val="none"/>
                <w:u w:val="none"/>
                <w:shd w:val="clear" w:color="auto" w:fill="auto"/>
                <w:lang w:val="en-US" w:eastAsia="zh-CN" w:bidi="ar-SA"/>
              </w:rPr>
              <w:t>人，其中：定标委员会负责人由招标人的法定代表人或主要负责人或项目分管领导担任（由招标人指定），招标人指定的成员不超过定标委员会总数的三分之一，其他成员从备选名单中按不少于2:1的比例抽取产生。</w:t>
            </w:r>
          </w:p>
        </w:tc>
      </w:tr>
      <w:tr w14:paraId="440F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584D4C41">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7.</w:t>
            </w: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.6</w:t>
            </w:r>
          </w:p>
        </w:tc>
        <w:tc>
          <w:tcPr>
            <w:tcW w:w="2266" w:type="dxa"/>
            <w:noWrap w:val="0"/>
            <w:vAlign w:val="center"/>
          </w:tcPr>
          <w:p w14:paraId="70BCF088">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cs="宋体"/>
                <w:i w:val="0"/>
                <w:iCs w:val="0"/>
                <w:color w:val="auto"/>
                <w:sz w:val="21"/>
                <w:szCs w:val="21"/>
                <w:highlight w:val="none"/>
                <w:lang w:val="en-US" w:eastAsia="zh-CN"/>
              </w:rPr>
              <w:t>□</w:t>
            </w:r>
            <w:r>
              <w:rPr>
                <w:rFonts w:hint="default" w:ascii="宋体" w:hAnsi="宋体" w:eastAsia="宋体" w:cs="宋体"/>
                <w:i w:val="0"/>
                <w:iCs w:val="0"/>
                <w:color w:val="auto"/>
                <w:sz w:val="21"/>
                <w:szCs w:val="21"/>
                <w:highlight w:val="none"/>
                <w:lang w:val="en-US" w:eastAsia="zh-CN"/>
              </w:rPr>
              <w:t>现场面试</w:t>
            </w:r>
          </w:p>
        </w:tc>
        <w:tc>
          <w:tcPr>
            <w:tcW w:w="6518" w:type="dxa"/>
            <w:noWrap w:val="0"/>
            <w:vAlign w:val="center"/>
          </w:tcPr>
          <w:p w14:paraId="2DC4C5AE">
            <w:pPr>
              <w:pStyle w:val="42"/>
              <w:keepNext w:val="0"/>
              <w:keepLines w:val="0"/>
              <w:pageBreakBefore w:val="0"/>
              <w:kinsoku/>
              <w:wordWrap/>
              <w:overflowPunct/>
              <w:topLinePunct w:val="0"/>
              <w:bidi w:val="0"/>
              <w:adjustRightInd/>
              <w:snapToGrid/>
              <w:spacing w:line="240" w:lineRule="auto"/>
              <w:jc w:val="left"/>
              <w:rPr>
                <w:rFonts w:hint="eastAsia" w:ascii="宋体" w:hAnsi="宋体" w:eastAsia="宋体" w:cs="宋体"/>
                <w:i w:val="0"/>
                <w:iCs w:val="0"/>
                <w:color w:val="auto"/>
                <w:kern w:val="2"/>
                <w:sz w:val="21"/>
                <w:szCs w:val="21"/>
                <w:highlight w:val="none"/>
                <w:lang w:val="en-US" w:eastAsia="zh-CN" w:bidi="ar-SA"/>
              </w:rPr>
            </w:pPr>
            <w:r>
              <w:rPr>
                <w:rFonts w:hint="eastAsia"/>
                <w:color w:val="auto"/>
                <w:highlight w:val="none"/>
                <w:shd w:val="clear" w:color="auto" w:fill="auto"/>
                <w:lang w:val="en-US" w:eastAsia="zh-CN"/>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6D94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78E43B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7.1.7</w:t>
            </w:r>
          </w:p>
        </w:tc>
        <w:tc>
          <w:tcPr>
            <w:tcW w:w="2266" w:type="dxa"/>
            <w:noWrap w:val="0"/>
            <w:vAlign w:val="center"/>
          </w:tcPr>
          <w:p w14:paraId="2C033C8E">
            <w:pPr>
              <w:pStyle w:val="43"/>
              <w:keepNext w:val="0"/>
              <w:keepLines w:val="0"/>
              <w:pageBreakBefore w:val="0"/>
              <w:widowControl/>
              <w:kinsoku/>
              <w:wordWrap/>
              <w:overflowPunct/>
              <w:topLinePunct w:val="0"/>
              <w:autoSpaceDE/>
              <w:autoSpaceDN/>
              <w:bidi w:val="0"/>
              <w:adjustRightInd w:val="0"/>
              <w:snapToGrid w:val="0"/>
              <w:spacing w:line="240" w:lineRule="auto"/>
              <w:ind w:left="379" w:right="129" w:hanging="220"/>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定标要素及</w:t>
            </w:r>
          </w:p>
          <w:p w14:paraId="4390F558">
            <w:pPr>
              <w:pStyle w:val="43"/>
              <w:keepNext w:val="0"/>
              <w:keepLines w:val="0"/>
              <w:pageBreakBefore w:val="0"/>
              <w:widowControl/>
              <w:kinsoku/>
              <w:wordWrap/>
              <w:overflowPunct/>
              <w:topLinePunct w:val="0"/>
              <w:autoSpaceDE/>
              <w:autoSpaceDN/>
              <w:bidi w:val="0"/>
              <w:adjustRightInd w:val="0"/>
              <w:snapToGrid w:val="0"/>
              <w:spacing w:line="240" w:lineRule="auto"/>
              <w:ind w:left="379" w:leftChars="0" w:right="129" w:rightChars="0" w:hanging="220" w:firstLine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具体内容</w:t>
            </w:r>
          </w:p>
        </w:tc>
        <w:tc>
          <w:tcPr>
            <w:tcW w:w="6518" w:type="dxa"/>
            <w:noWrap w:val="0"/>
            <w:vAlign w:val="center"/>
          </w:tcPr>
          <w:p w14:paraId="45C2A7C4">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1.价格因素：</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1EB02C21">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2.企业实力：</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0B78A400">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3.企业信誉：</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6A134E77">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4.投标方案：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697FE50B">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5.拟派团队能力与水平：</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15CE18DF">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6.联合体投标的，联合体组成情况：</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0A5889B4">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7.企业质量安全、无欠薪管理情况：</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64862D03">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8.企业项目班组人员到岗履职等管理情况：</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0134E8D7">
            <w:pPr>
              <w:pStyle w:val="43"/>
              <w:keepNext w:val="0"/>
              <w:keepLines w:val="0"/>
              <w:pageBreakBefore w:val="0"/>
              <w:widowControl/>
              <w:kinsoku/>
              <w:wordWrap/>
              <w:overflowPunct/>
              <w:topLinePunct w:val="0"/>
              <w:autoSpaceDE/>
              <w:autoSpaceDN/>
              <w:bidi w:val="0"/>
              <w:adjustRightInd w:val="0"/>
              <w:snapToGrid w:val="0"/>
              <w:spacing w:line="240" w:lineRule="auto"/>
              <w:ind w:left="86" w:right="59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9.工程保修维护等后续服务便利：</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p>
          <w:p w14:paraId="3159C416">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10.落实建筑业高质量发展政策：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15723393">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11.落实政府其他政策：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6ABA3AF8">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12.评标报告；</w:t>
            </w:r>
          </w:p>
          <w:p w14:paraId="11576553">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13.质询或（和）考察报告</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如有</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67A588FD">
            <w:pPr>
              <w:pStyle w:val="43"/>
              <w:keepNext w:val="0"/>
              <w:keepLines w:val="0"/>
              <w:pageBreakBefore w:val="0"/>
              <w:widowControl/>
              <w:kinsoku/>
              <w:wordWrap/>
              <w:overflowPunct/>
              <w:topLinePunct w:val="0"/>
              <w:autoSpaceDE/>
              <w:autoSpaceDN/>
              <w:bidi w:val="0"/>
              <w:adjustRightInd w:val="0"/>
              <w:snapToGrid w:val="0"/>
              <w:spacing w:line="240" w:lineRule="auto"/>
              <w:ind w:left="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14.现场面试情况；</w:t>
            </w:r>
          </w:p>
          <w:p w14:paraId="72B700CE">
            <w:pPr>
              <w:pStyle w:val="43"/>
              <w:keepNext w:val="0"/>
              <w:keepLines w:val="0"/>
              <w:pageBreakBefore w:val="0"/>
              <w:widowControl/>
              <w:kinsoku/>
              <w:wordWrap/>
              <w:overflowPunct/>
              <w:topLinePunct w:val="0"/>
              <w:autoSpaceDE/>
              <w:autoSpaceDN/>
              <w:bidi w:val="0"/>
              <w:adjustRightInd w:val="0"/>
              <w:snapToGrid w:val="0"/>
              <w:spacing w:line="240" w:lineRule="auto"/>
              <w:ind w:left="86" w:leftChars="0" w:right="596" w:righ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15.招标人认为需要考量的其他因素：</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社会综合贡献</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1C0F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7C1AB81">
            <w:pPr>
              <w:pStyle w:val="42"/>
              <w:keepNext w:val="0"/>
              <w:keepLines w:val="0"/>
              <w:pageBreakBefore w:val="0"/>
              <w:kinsoku/>
              <w:wordWrap/>
              <w:overflowPunct/>
              <w:topLinePunct w:val="0"/>
              <w:bidi w:val="0"/>
              <w:adjustRightInd/>
              <w:snapToGrid/>
              <w:spacing w:line="240" w:lineRule="auto"/>
              <w:ind w:left="0" w:left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7.</w:t>
            </w:r>
            <w:r>
              <w:rPr>
                <w:rFonts w:hint="eastAsia" w:ascii="宋体" w:hAnsi="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val="en-US" w:eastAsia="zh-CN"/>
              </w:rPr>
              <w:t>.8</w:t>
            </w:r>
          </w:p>
        </w:tc>
        <w:tc>
          <w:tcPr>
            <w:tcW w:w="2266" w:type="dxa"/>
            <w:noWrap w:val="0"/>
            <w:vAlign w:val="center"/>
          </w:tcPr>
          <w:p w14:paraId="7CD98436">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cs="宋体"/>
                <w:i w:val="0"/>
                <w:iCs w:val="0"/>
                <w:color w:val="auto"/>
                <w:sz w:val="21"/>
                <w:szCs w:val="21"/>
                <w:highlight w:val="none"/>
                <w:lang w:val="en-US" w:eastAsia="zh-CN"/>
              </w:rPr>
              <w:t>☑</w:t>
            </w:r>
            <w:r>
              <w:rPr>
                <w:rFonts w:hint="default" w:ascii="宋体" w:hAnsi="宋体" w:eastAsia="宋体" w:cs="宋体"/>
                <w:i w:val="0"/>
                <w:iCs w:val="0"/>
                <w:color w:val="auto"/>
                <w:sz w:val="21"/>
                <w:szCs w:val="21"/>
                <w:highlight w:val="none"/>
                <w:lang w:val="en-US" w:eastAsia="zh-CN"/>
              </w:rPr>
              <w:t>定标方法</w:t>
            </w:r>
          </w:p>
        </w:tc>
        <w:tc>
          <w:tcPr>
            <w:tcW w:w="6518" w:type="dxa"/>
            <w:noWrap w:val="0"/>
            <w:vAlign w:val="center"/>
          </w:tcPr>
          <w:p w14:paraId="6E9F9239">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default" w:ascii="宋体" w:hAnsi="宋体" w:eastAsia="宋体" w:cs="宋体"/>
                <w:i w:val="0"/>
                <w:iCs w:val="0"/>
                <w:color w:val="auto"/>
                <w:sz w:val="21"/>
                <w:szCs w:val="21"/>
                <w:highlight w:val="none"/>
                <w:u w:val="none"/>
                <w:shd w:val="clear" w:color="auto" w:fill="auto"/>
                <w:lang w:val="en-US" w:eastAsia="zh-CN"/>
              </w:rPr>
            </w:pPr>
            <w:r>
              <w:rPr>
                <w:rFonts w:hint="eastAsia" w:ascii="宋体" w:hAnsi="宋体" w:cs="宋体"/>
                <w:i w:val="0"/>
                <w:iCs w:val="0"/>
                <w:color w:val="auto"/>
                <w:sz w:val="21"/>
                <w:szCs w:val="21"/>
                <w:highlight w:val="none"/>
                <w:u w:val="none"/>
                <w:shd w:val="clear" w:color="auto" w:fill="auto"/>
                <w:lang w:val="en-US" w:eastAsia="zh-CN"/>
              </w:rPr>
              <w:t>☑</w:t>
            </w:r>
            <w:r>
              <w:rPr>
                <w:rFonts w:hint="eastAsia" w:ascii="宋体" w:hAnsi="宋体" w:eastAsia="宋体" w:cs="宋体"/>
                <w:i w:val="0"/>
                <w:iCs w:val="0"/>
                <w:color w:val="auto"/>
                <w:sz w:val="21"/>
                <w:szCs w:val="21"/>
                <w:highlight w:val="none"/>
                <w:u w:val="none"/>
                <w:shd w:val="clear" w:color="auto" w:fill="auto"/>
                <w:lang w:val="en-US" w:eastAsia="zh-CN"/>
              </w:rPr>
              <w:t>1.</w:t>
            </w:r>
            <w:r>
              <w:rPr>
                <w:rFonts w:hint="default" w:ascii="宋体" w:hAnsi="宋体" w:eastAsia="宋体" w:cs="宋体"/>
                <w:i w:val="0"/>
                <w:iCs w:val="0"/>
                <w:color w:val="auto"/>
                <w:sz w:val="21"/>
                <w:szCs w:val="21"/>
                <w:highlight w:val="none"/>
                <w:u w:val="none"/>
                <w:shd w:val="clear" w:color="auto" w:fill="auto"/>
                <w:lang w:val="en-US" w:eastAsia="zh-CN"/>
              </w:rPr>
              <w:t>票决法</w:t>
            </w:r>
            <w:r>
              <w:rPr>
                <w:rFonts w:hint="eastAsia" w:ascii="宋体" w:hAnsi="宋体" w:eastAsia="宋体" w:cs="宋体"/>
                <w:i w:val="0"/>
                <w:iCs w:val="0"/>
                <w:color w:val="auto"/>
                <w:sz w:val="21"/>
                <w:szCs w:val="21"/>
                <w:highlight w:val="none"/>
                <w:u w:val="none"/>
                <w:shd w:val="clear" w:color="auto" w:fill="auto"/>
                <w:lang w:val="en-US" w:eastAsia="zh-CN"/>
              </w:rPr>
              <w:t>；</w:t>
            </w:r>
          </w:p>
          <w:p w14:paraId="61C00126">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jc w:val="left"/>
              <w:rPr>
                <w:rFonts w:hint="default" w:ascii="宋体" w:hAnsi="宋体" w:eastAsia="宋体" w:cs="宋体"/>
                <w:i w:val="0"/>
                <w:iCs w:val="0"/>
                <w:color w:val="auto"/>
                <w:sz w:val="21"/>
                <w:szCs w:val="21"/>
                <w:highlight w:val="none"/>
                <w:u w:val="none"/>
                <w:shd w:val="clear" w:color="auto" w:fill="auto"/>
                <w:lang w:val="en-US" w:eastAsia="zh-CN"/>
              </w:rPr>
            </w:pPr>
            <w:r>
              <w:rPr>
                <w:rFonts w:hint="eastAsia" w:ascii="宋体" w:hAnsi="宋体" w:cs="宋体"/>
                <w:i w:val="0"/>
                <w:iCs w:val="0"/>
                <w:color w:val="auto"/>
                <w:sz w:val="21"/>
                <w:szCs w:val="21"/>
                <w:highlight w:val="none"/>
                <w:u w:val="none"/>
                <w:shd w:val="clear" w:color="auto" w:fill="auto"/>
                <w:lang w:val="en-US" w:eastAsia="zh-CN"/>
              </w:rPr>
              <w:t>□</w:t>
            </w:r>
            <w:r>
              <w:rPr>
                <w:rFonts w:hint="default" w:ascii="宋体" w:hAnsi="宋体" w:eastAsia="宋体" w:cs="宋体"/>
                <w:i w:val="0"/>
                <w:iCs w:val="0"/>
                <w:color w:val="auto"/>
                <w:sz w:val="21"/>
                <w:szCs w:val="21"/>
                <w:highlight w:val="none"/>
                <w:u w:val="none"/>
                <w:shd w:val="clear" w:color="auto" w:fill="auto"/>
                <w:lang w:val="en-US" w:eastAsia="zh-CN"/>
              </w:rPr>
              <w:t>2</w:t>
            </w:r>
            <w:r>
              <w:rPr>
                <w:rFonts w:hint="eastAsia" w:ascii="宋体" w:hAnsi="宋体" w:eastAsia="宋体" w:cs="宋体"/>
                <w:i w:val="0"/>
                <w:iCs w:val="0"/>
                <w:color w:val="auto"/>
                <w:sz w:val="21"/>
                <w:szCs w:val="21"/>
                <w:highlight w:val="none"/>
                <w:u w:val="none"/>
                <w:shd w:val="clear" w:color="auto" w:fill="auto"/>
                <w:lang w:val="en-US" w:eastAsia="zh-CN"/>
              </w:rPr>
              <w:t>.</w:t>
            </w:r>
            <w:r>
              <w:rPr>
                <w:rFonts w:hint="default" w:ascii="宋体" w:hAnsi="宋体" w:eastAsia="宋体" w:cs="宋体"/>
                <w:i w:val="0"/>
                <w:iCs w:val="0"/>
                <w:color w:val="auto"/>
                <w:sz w:val="21"/>
                <w:szCs w:val="21"/>
                <w:highlight w:val="none"/>
                <w:u w:val="none"/>
                <w:shd w:val="clear" w:color="auto" w:fill="auto"/>
                <w:lang w:val="en-US" w:eastAsia="zh-CN"/>
              </w:rPr>
              <w:t>集体议事法</w:t>
            </w:r>
            <w:r>
              <w:rPr>
                <w:rFonts w:hint="eastAsia" w:ascii="宋体" w:hAnsi="宋体" w:eastAsia="宋体" w:cs="宋体"/>
                <w:i w:val="0"/>
                <w:iCs w:val="0"/>
                <w:color w:val="auto"/>
                <w:sz w:val="21"/>
                <w:szCs w:val="21"/>
                <w:highlight w:val="none"/>
                <w:u w:val="none"/>
                <w:shd w:val="clear" w:color="auto" w:fill="auto"/>
                <w:lang w:val="en-US" w:eastAsia="zh-CN"/>
              </w:rPr>
              <w:t>；</w:t>
            </w:r>
          </w:p>
          <w:p w14:paraId="6DC6F8B4">
            <w:pPr>
              <w:pStyle w:val="42"/>
              <w:keepNext w:val="0"/>
              <w:keepLines w:val="0"/>
              <w:pageBreakBefore w:val="0"/>
              <w:shd w:val="clear" w:color="auto" w:fill="auto"/>
              <w:tabs>
                <w:tab w:val="left" w:pos="2309"/>
                <w:tab w:val="left" w:pos="2729"/>
                <w:tab w:val="left" w:pos="3826"/>
              </w:tabs>
              <w:kinsoku/>
              <w:wordWrap/>
              <w:overflowPunct/>
              <w:topLinePunct w:val="0"/>
              <w:bidi w:val="0"/>
              <w:adjustRightInd/>
              <w:snapToGrid/>
              <w:spacing w:line="240" w:lineRule="auto"/>
              <w:ind w:firstLine="0" w:firstLineChars="0"/>
              <w:jc w:val="left"/>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宋体"/>
                <w:i w:val="0"/>
                <w:iCs w:val="0"/>
                <w:color w:val="auto"/>
                <w:sz w:val="21"/>
                <w:szCs w:val="21"/>
                <w:highlight w:val="none"/>
                <w:u w:val="none"/>
                <w:shd w:val="clear" w:color="auto" w:fill="auto"/>
                <w:lang w:val="en-US" w:eastAsia="zh-CN"/>
              </w:rPr>
              <w:t>□</w:t>
            </w:r>
            <w:r>
              <w:rPr>
                <w:rFonts w:hint="default" w:ascii="宋体" w:hAnsi="宋体" w:eastAsia="宋体" w:cs="宋体"/>
                <w:i w:val="0"/>
                <w:iCs w:val="0"/>
                <w:color w:val="auto"/>
                <w:sz w:val="21"/>
                <w:szCs w:val="21"/>
                <w:highlight w:val="none"/>
                <w:u w:val="none"/>
                <w:shd w:val="clear" w:color="auto" w:fill="auto"/>
                <w:lang w:val="en-US" w:eastAsia="zh-CN"/>
              </w:rPr>
              <w:t>3</w:t>
            </w:r>
            <w:r>
              <w:rPr>
                <w:rFonts w:hint="eastAsia" w:ascii="宋体" w:hAnsi="宋体" w:eastAsia="宋体" w:cs="宋体"/>
                <w:i w:val="0"/>
                <w:iCs w:val="0"/>
                <w:color w:val="auto"/>
                <w:sz w:val="21"/>
                <w:szCs w:val="21"/>
                <w:highlight w:val="none"/>
                <w:u w:val="none"/>
                <w:shd w:val="clear" w:color="auto" w:fill="auto"/>
                <w:lang w:val="en-US" w:eastAsia="zh-CN"/>
              </w:rPr>
              <w:t>.</w:t>
            </w:r>
            <w:r>
              <w:rPr>
                <w:rFonts w:hint="default" w:ascii="宋体" w:hAnsi="宋体" w:eastAsia="宋体" w:cs="宋体"/>
                <w:i w:val="0"/>
                <w:iCs w:val="0"/>
                <w:color w:val="auto"/>
                <w:sz w:val="21"/>
                <w:szCs w:val="21"/>
                <w:highlight w:val="none"/>
                <w:u w:val="none"/>
                <w:shd w:val="clear" w:color="auto" w:fill="auto"/>
                <w:lang w:val="en-US" w:eastAsia="zh-CN"/>
              </w:rPr>
              <w:t>其他定标办法</w:t>
            </w:r>
            <w:r>
              <w:rPr>
                <w:rFonts w:hint="eastAsia" w:ascii="宋体" w:hAnsi="宋体" w:eastAsia="宋体" w:cs="宋体"/>
                <w:i w:val="0"/>
                <w:iCs w:val="0"/>
                <w:color w:val="auto"/>
                <w:sz w:val="21"/>
                <w:szCs w:val="21"/>
                <w:highlight w:val="none"/>
                <w:u w:val="none"/>
                <w:shd w:val="clear" w:color="auto" w:fill="auto"/>
                <w:lang w:val="en-US" w:eastAsia="zh-CN"/>
              </w:rPr>
              <w:t>：</w:t>
            </w:r>
            <w:r>
              <w:rPr>
                <w:rFonts w:hint="eastAsia" w:ascii="宋体" w:hAnsi="宋体" w:eastAsia="宋体" w:cs="宋体"/>
                <w:i w:val="0"/>
                <w:iCs w:val="0"/>
                <w:color w:val="auto"/>
                <w:sz w:val="21"/>
                <w:szCs w:val="21"/>
                <w:highlight w:val="none"/>
                <w:u w:val="single"/>
                <w:shd w:val="clear" w:color="auto" w:fill="auto"/>
                <w:lang w:val="en-US" w:eastAsia="zh-CN"/>
              </w:rPr>
              <w:t xml:space="preserve">                          </w:t>
            </w:r>
            <w:r>
              <w:rPr>
                <w:rFonts w:hint="default" w:ascii="宋体" w:hAnsi="宋体" w:eastAsia="宋体" w:cs="宋体"/>
                <w:i w:val="0"/>
                <w:iCs w:val="0"/>
                <w:color w:val="auto"/>
                <w:sz w:val="21"/>
                <w:szCs w:val="21"/>
                <w:highlight w:val="none"/>
                <w:u w:val="none"/>
                <w:shd w:val="clear" w:color="auto" w:fill="auto"/>
                <w:lang w:val="en-US" w:eastAsia="zh-CN"/>
              </w:rPr>
              <w:t>。</w:t>
            </w:r>
          </w:p>
        </w:tc>
      </w:tr>
      <w:tr w14:paraId="7F46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F8D761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7.1.9</w:t>
            </w:r>
          </w:p>
        </w:tc>
        <w:tc>
          <w:tcPr>
            <w:tcW w:w="2266" w:type="dxa"/>
            <w:noWrap w:val="0"/>
            <w:vAlign w:val="center"/>
          </w:tcPr>
          <w:p w14:paraId="50CA1AA2">
            <w:pPr>
              <w:pStyle w:val="43"/>
              <w:keepNext w:val="0"/>
              <w:keepLines w:val="0"/>
              <w:pageBreakBefore w:val="0"/>
              <w:widowControl/>
              <w:kinsoku/>
              <w:wordWrap/>
              <w:overflowPunct/>
              <w:topLinePunct w:val="0"/>
              <w:autoSpaceDE/>
              <w:autoSpaceDN/>
              <w:bidi w:val="0"/>
              <w:adjustRightInd w:val="0"/>
              <w:snapToGrid w:val="0"/>
              <w:spacing w:line="240" w:lineRule="auto"/>
              <w:ind w:right="129"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中标公告媒介及期限</w:t>
            </w:r>
          </w:p>
        </w:tc>
        <w:tc>
          <w:tcPr>
            <w:tcW w:w="6518" w:type="dxa"/>
            <w:noWrap w:val="0"/>
            <w:vAlign w:val="center"/>
          </w:tcPr>
          <w:p w14:paraId="6A058CB2">
            <w:pPr>
              <w:pStyle w:val="43"/>
              <w:keepNext w:val="0"/>
              <w:keepLines w:val="0"/>
              <w:pageBreakBefore w:val="0"/>
              <w:widowControl/>
              <w:kinsoku/>
              <w:wordWrap/>
              <w:overflowPunct/>
              <w:topLinePunct w:val="0"/>
              <w:autoSpaceDE/>
              <w:autoSpaceDN/>
              <w:bidi w:val="0"/>
              <w:adjustRightInd w:val="0"/>
              <w:spacing w:line="240" w:lineRule="auto"/>
              <w:ind w:left="69"/>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公告媒介：开化县人民政府网（http://www.kaihua.gov.cn/）、衢州市公共资源交易中心网（http://ggzy.qz.gov.cn/）和浙江省公共资源交易服务平台（https://ggzy.zj.gov.cn/）</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w:t>
            </w:r>
          </w:p>
          <w:p w14:paraId="12E34611">
            <w:pPr>
              <w:pStyle w:val="43"/>
              <w:keepNext w:val="0"/>
              <w:keepLines w:val="0"/>
              <w:pageBreakBefore w:val="0"/>
              <w:widowControl/>
              <w:kinsoku/>
              <w:wordWrap/>
              <w:overflowPunct/>
              <w:topLinePunct w:val="0"/>
              <w:autoSpaceDE/>
              <w:autoSpaceDN/>
              <w:bidi w:val="0"/>
              <w:adjustRightInd w:val="0"/>
              <w:snapToGrid w:val="0"/>
              <w:spacing w:line="240" w:lineRule="auto"/>
              <w:ind w:left="69"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公告期限：不少于</w:t>
            </w:r>
            <w:r>
              <w:rPr>
                <w:rFonts w:hint="eastAsia" w:ascii="宋体" w:hAnsi="宋体" w:eastAsia="宋体" w:cs="宋体"/>
                <w:color w:val="000000" w:themeColor="text1"/>
                <w:spacing w:val="34"/>
                <w:sz w:val="21"/>
                <w:szCs w:val="21"/>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34"/>
                <w:sz w:val="21"/>
                <w:szCs w:val="21"/>
                <w:highlight w:val="none"/>
                <w:u w:val="single" w:color="auto"/>
                <w:lang w:val="en-US" w:eastAsia="zh-CN"/>
                <w14:textFill>
                  <w14:solidFill>
                    <w14:schemeClr w14:val="tx1"/>
                  </w14:solidFill>
                </w14:textFill>
              </w:rPr>
              <w:t xml:space="preserve">3 </w:t>
            </w:r>
            <w:r>
              <w:rPr>
                <w:rFonts w:hint="eastAsia" w:ascii="宋体" w:hAnsi="宋体" w:eastAsia="宋体" w:cs="宋体"/>
                <w:color w:val="000000" w:themeColor="text1"/>
                <w:spacing w:val="-68"/>
                <w:sz w:val="21"/>
                <w:szCs w:val="21"/>
                <w:highlight w:val="none"/>
                <w14:textFill>
                  <w14:solidFill>
                    <w14:schemeClr w14:val="tx1"/>
                  </w14:solidFill>
                </w14:textFill>
              </w:rPr>
              <w:t xml:space="preserve"> </w:t>
            </w:r>
            <w:r>
              <w:rPr>
                <w:rFonts w:hint="eastAsia" w:ascii="宋体" w:hAnsi="宋体" w:eastAsia="宋体" w:cs="宋体"/>
                <w:color w:val="000000" w:themeColor="text1"/>
                <w:spacing w:val="-10"/>
                <w:sz w:val="21"/>
                <w:szCs w:val="21"/>
                <w:highlight w:val="none"/>
                <w14:textFill>
                  <w14:solidFill>
                    <w14:schemeClr w14:val="tx1"/>
                  </w14:solidFill>
                </w14:textFill>
              </w:rPr>
              <w:t>日。</w:t>
            </w:r>
          </w:p>
        </w:tc>
      </w:tr>
      <w:tr w14:paraId="3708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018D75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7.1.10</w:t>
            </w:r>
          </w:p>
        </w:tc>
        <w:tc>
          <w:tcPr>
            <w:tcW w:w="2266" w:type="dxa"/>
            <w:noWrap w:val="0"/>
            <w:vAlign w:val="center"/>
          </w:tcPr>
          <w:p w14:paraId="17074189">
            <w:pPr>
              <w:pStyle w:val="43"/>
              <w:keepNext w:val="0"/>
              <w:keepLines w:val="0"/>
              <w:pageBreakBefore w:val="0"/>
              <w:widowControl/>
              <w:kinsoku/>
              <w:wordWrap/>
              <w:overflowPunct/>
              <w:topLinePunct w:val="0"/>
              <w:autoSpaceDE/>
              <w:autoSpaceDN/>
              <w:bidi w:val="0"/>
              <w:adjustRightInd w:val="0"/>
              <w:snapToGrid w:val="0"/>
              <w:spacing w:line="240" w:lineRule="auto"/>
              <w:ind w:right="129"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□按原定标方法确定中标人</w:t>
            </w:r>
          </w:p>
        </w:tc>
        <w:tc>
          <w:tcPr>
            <w:tcW w:w="6518" w:type="dxa"/>
            <w:noWrap w:val="0"/>
            <w:vAlign w:val="center"/>
          </w:tcPr>
          <w:p w14:paraId="5927A4C9">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其他情形：</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tc>
      </w:tr>
      <w:tr w14:paraId="34CB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7F346BA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7.1.11</w:t>
            </w:r>
          </w:p>
        </w:tc>
        <w:tc>
          <w:tcPr>
            <w:tcW w:w="2266" w:type="dxa"/>
            <w:noWrap w:val="0"/>
            <w:vAlign w:val="center"/>
          </w:tcPr>
          <w:p w14:paraId="08125F31">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□重新定标</w:t>
            </w:r>
          </w:p>
        </w:tc>
        <w:tc>
          <w:tcPr>
            <w:tcW w:w="6518" w:type="dxa"/>
            <w:noWrap w:val="0"/>
            <w:vAlign w:val="center"/>
          </w:tcPr>
          <w:p w14:paraId="1D011FDC">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其他情形：</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tc>
      </w:tr>
      <w:tr w14:paraId="230D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5B761342">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7.2</w:t>
            </w:r>
          </w:p>
        </w:tc>
        <w:tc>
          <w:tcPr>
            <w:tcW w:w="2266" w:type="dxa"/>
            <w:noWrap w:val="0"/>
            <w:vAlign w:val="center"/>
          </w:tcPr>
          <w:p w14:paraId="1A08FB6F">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中标候选人公示媒介及期限</w:t>
            </w:r>
          </w:p>
        </w:tc>
        <w:tc>
          <w:tcPr>
            <w:tcW w:w="6518" w:type="dxa"/>
            <w:noWrap w:val="0"/>
            <w:vAlign w:val="center"/>
          </w:tcPr>
          <w:p w14:paraId="6291315C">
            <w:pPr>
              <w:pStyle w:val="43"/>
              <w:keepNext w:val="0"/>
              <w:keepLines w:val="0"/>
              <w:pageBreakBefore w:val="0"/>
              <w:widowControl/>
              <w:kinsoku/>
              <w:wordWrap/>
              <w:overflowPunct/>
              <w:topLinePunct w:val="0"/>
              <w:autoSpaceDE/>
              <w:autoSpaceDN/>
              <w:bidi w:val="0"/>
              <w:adjustRightInd w:val="0"/>
              <w:snapToGrid w:val="0"/>
              <w:spacing w:line="240" w:lineRule="auto"/>
              <w:ind w:right="8"/>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公示媒介：开化县人民政府网（http://www.kaihua.gov.cn/）、衢州市公共资源交易中心网（http://ggzy.qz.gov.cn/）和浙江省公共资源交易服务平台（https://ggzy.zj.gov.cn/）</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37C7DA9A">
            <w:pPr>
              <w:pStyle w:val="43"/>
              <w:keepNext w:val="0"/>
              <w:keepLines w:val="0"/>
              <w:pageBreakBefore w:val="0"/>
              <w:widowControl/>
              <w:kinsoku/>
              <w:wordWrap/>
              <w:overflowPunct/>
              <w:topLinePunct w:val="0"/>
              <w:autoSpaceDE/>
              <w:autoSpaceDN/>
              <w:bidi w:val="0"/>
              <w:adjustRightInd w:val="0"/>
              <w:snapToGrid w:val="0"/>
              <w:spacing w:line="240" w:lineRule="auto"/>
              <w:ind w:left="57"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pacing w:val="-2"/>
                <w:sz w:val="21"/>
                <w:szCs w:val="21"/>
                <w:highlight w:val="none"/>
                <w14:textFill>
                  <w14:solidFill>
                    <w14:schemeClr w14:val="tx1"/>
                  </w14:solidFill>
                </w14:textFill>
              </w:rPr>
              <w:t>公示期限：不少于3日。如遇国家法定休假日，应顺延至法定休假日后第一个工作日。</w:t>
            </w:r>
          </w:p>
        </w:tc>
      </w:tr>
      <w:tr w14:paraId="7EA6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D7A3234">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7.3.1</w:t>
            </w:r>
          </w:p>
        </w:tc>
        <w:tc>
          <w:tcPr>
            <w:tcW w:w="2266" w:type="dxa"/>
            <w:noWrap w:val="0"/>
            <w:vAlign w:val="center"/>
          </w:tcPr>
          <w:p w14:paraId="3169BA82">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履约担保及工程款</w:t>
            </w:r>
          </w:p>
          <w:p w14:paraId="65B6798E">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支付担保</w:t>
            </w:r>
          </w:p>
        </w:tc>
        <w:tc>
          <w:tcPr>
            <w:tcW w:w="6518" w:type="dxa"/>
            <w:noWrap w:val="0"/>
            <w:vAlign w:val="center"/>
          </w:tcPr>
          <w:p w14:paraId="2ED84630">
            <w:pPr>
              <w:keepNext w:val="0"/>
              <w:keepLines w:val="0"/>
              <w:pageBreakBefore w:val="0"/>
              <w:widowControl/>
              <w:kinsoku/>
              <w:wordWrap/>
              <w:overflowPunct/>
              <w:topLinePunct w:val="0"/>
              <w:autoSpaceDE/>
              <w:autoSpaceDN/>
              <w:bidi w:val="0"/>
              <w:adjustRightInd w:val="0"/>
              <w:spacing w:line="240" w:lineRule="auto"/>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履约担保的形式：采用汇票、转账、银行保函、保险保单等4种方式交纳；</w:t>
            </w:r>
          </w:p>
          <w:p w14:paraId="23E090AC">
            <w:pPr>
              <w:keepNext w:val="0"/>
              <w:keepLines w:val="0"/>
              <w:pageBreakBefore w:val="0"/>
              <w:widowControl/>
              <w:kinsoku/>
              <w:wordWrap/>
              <w:overflowPunct/>
              <w:topLinePunct w:val="0"/>
              <w:autoSpaceDE/>
              <w:autoSpaceDN/>
              <w:bidi w:val="0"/>
              <w:adjustRightInd w:val="0"/>
              <w:spacing w:line="240" w:lineRule="auto"/>
              <w:ind w:firstLine="420"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履约担保的金额：投标人提交的履约担保金额为中标价的2%（不计利息）</w:t>
            </w:r>
          </w:p>
          <w:p w14:paraId="25F52425">
            <w:pPr>
              <w:keepNext w:val="0"/>
              <w:keepLines w:val="0"/>
              <w:pageBreakBefore w:val="0"/>
              <w:widowControl/>
              <w:kinsoku/>
              <w:wordWrap/>
              <w:overflowPunct/>
              <w:topLinePunct w:val="0"/>
              <w:autoSpaceDE/>
              <w:autoSpaceDN/>
              <w:bidi w:val="0"/>
              <w:adjustRightInd w:val="0"/>
              <w:spacing w:line="240" w:lineRule="auto"/>
              <w:ind w:firstLine="422" w:firstLineChars="200"/>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交纳方式</w:t>
            </w:r>
            <w:r>
              <w:rPr>
                <w:rFonts w:hint="eastAsia" w:ascii="宋体" w:hAnsi="宋体" w:eastAsia="宋体" w:cs="宋体"/>
                <w:color w:val="000000" w:themeColor="text1"/>
                <w:sz w:val="21"/>
                <w:szCs w:val="21"/>
                <w:highlight w:val="none"/>
                <w14:textFill>
                  <w14:solidFill>
                    <w14:schemeClr w14:val="tx1"/>
                  </w14:solidFill>
                </w14:textFill>
              </w:rPr>
              <w:t>：</w:t>
            </w:r>
          </w:p>
          <w:p w14:paraId="6FCDD9AE">
            <w:pPr>
              <w:keepNext w:val="0"/>
              <w:keepLines w:val="0"/>
              <w:pageBreakBefore w:val="0"/>
              <w:wordWrap/>
              <w:overflowPunct/>
              <w:topLinePunct w:val="0"/>
              <w:bidi w:val="0"/>
              <w:adjustRightInd/>
              <w:snapToGrid/>
              <w:spacing w:line="240" w:lineRule="auto"/>
              <w:ind w:firstLine="420" w:firstLineChars="200"/>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一、采用汇票、转账等方式交纳，中标人在签订合同前按以下方式缴纳：</w:t>
            </w:r>
          </w:p>
          <w:p w14:paraId="7692C605">
            <w:pPr>
              <w:ind w:firstLine="420" w:firstLineChars="200"/>
              <w:rPr>
                <w:rFonts w:hint="eastAsia" w:eastAsia="宋体"/>
                <w:color w:val="auto"/>
                <w:highlight w:val="none"/>
                <w:lang w:eastAsia="zh-CN"/>
              </w:rPr>
            </w:pPr>
            <w:r>
              <w:rPr>
                <w:color w:val="auto"/>
                <w:highlight w:val="none"/>
              </w:rPr>
              <w:t>开户银行：</w:t>
            </w:r>
            <w:r>
              <w:rPr>
                <w:rFonts w:hint="eastAsia"/>
                <w:color w:val="auto"/>
                <w:highlight w:val="none"/>
                <w:lang w:eastAsia="zh-CN"/>
              </w:rPr>
              <w:t>中国农业银行股份有限公司开化支行营业部</w:t>
            </w:r>
          </w:p>
          <w:p w14:paraId="2609FA19">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eastAsia="宋体"/>
                <w:color w:val="auto"/>
                <w:highlight w:val="none"/>
                <w:lang w:eastAsia="zh-CN"/>
              </w:rPr>
            </w:pPr>
            <w:r>
              <w:rPr>
                <w:color w:val="auto"/>
                <w:highlight w:val="none"/>
              </w:rPr>
              <w:t>开户名称：</w:t>
            </w:r>
            <w:r>
              <w:rPr>
                <w:rFonts w:hint="eastAsia" w:ascii="宋体" w:hAnsi="宋体"/>
                <w:color w:val="auto"/>
                <w:szCs w:val="21"/>
                <w:highlight w:val="none"/>
                <w:u w:val="none"/>
              </w:rPr>
              <w:t>开化县城镇有机更新有限公司</w:t>
            </w:r>
          </w:p>
          <w:p w14:paraId="4E646434">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eastAsia="宋体"/>
                <w:color w:val="auto"/>
                <w:highlight w:val="none"/>
                <w:lang w:val="en-US" w:eastAsia="zh-CN"/>
              </w:rPr>
            </w:pPr>
            <w:r>
              <w:rPr>
                <w:color w:val="auto"/>
                <w:highlight w:val="none"/>
              </w:rPr>
              <w:t>账</w:t>
            </w:r>
            <w:r>
              <w:rPr>
                <w:rFonts w:hint="eastAsia"/>
                <w:color w:val="auto"/>
                <w:highlight w:val="none"/>
              </w:rPr>
              <w:t xml:space="preserve">    </w:t>
            </w:r>
            <w:r>
              <w:rPr>
                <w:color w:val="auto"/>
                <w:highlight w:val="none"/>
              </w:rPr>
              <w:t>号：</w:t>
            </w:r>
            <w:r>
              <w:rPr>
                <w:rFonts w:hint="eastAsia"/>
                <w:color w:val="auto"/>
                <w:highlight w:val="none"/>
                <w:lang w:val="en-US" w:eastAsia="zh-CN"/>
              </w:rPr>
              <w:t>19780101040015622</w:t>
            </w:r>
          </w:p>
          <w:p w14:paraId="22C819D0">
            <w:pPr>
              <w:keepNext w:val="0"/>
              <w:keepLines w:val="0"/>
              <w:pageBreakBefore w:val="0"/>
              <w:widowControl/>
              <w:kinsoku/>
              <w:wordWrap/>
              <w:overflowPunct/>
              <w:topLinePunct w:val="0"/>
              <w:autoSpaceDE/>
              <w:autoSpaceDN/>
              <w:bidi w:val="0"/>
              <w:spacing w:line="240" w:lineRule="auto"/>
              <w:ind w:firstLine="420" w:firstLineChars="200"/>
              <w:textAlignment w:val="auto"/>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如履约保证金采用银行保函、保险保单的，银行保函或保险保单有效期限不宜少于中标项目的合同期限的1.2倍，中标人在签订合同前提供，应按投标人须知前附表规定的金额、支付形式向招标人提交履约保证金。</w:t>
            </w:r>
          </w:p>
        </w:tc>
      </w:tr>
      <w:tr w14:paraId="5EB0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0EB39830">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8.1</w:t>
            </w:r>
          </w:p>
        </w:tc>
        <w:tc>
          <w:tcPr>
            <w:tcW w:w="2266" w:type="dxa"/>
            <w:noWrap w:val="0"/>
            <w:vAlign w:val="center"/>
          </w:tcPr>
          <w:p w14:paraId="17C5CA63">
            <w:pPr>
              <w:pStyle w:val="43"/>
              <w:keepNext w:val="0"/>
              <w:keepLines w:val="0"/>
              <w:pageBreakBefore w:val="0"/>
              <w:widowControl/>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重新招标的其他情形</w:t>
            </w:r>
          </w:p>
        </w:tc>
        <w:tc>
          <w:tcPr>
            <w:tcW w:w="6518" w:type="dxa"/>
            <w:noWrap w:val="0"/>
            <w:vAlign w:val="center"/>
          </w:tcPr>
          <w:p w14:paraId="73EF3CD4">
            <w:pPr>
              <w:pStyle w:val="43"/>
              <w:keepNext w:val="0"/>
              <w:keepLines w:val="0"/>
              <w:pageBreakBefore w:val="0"/>
              <w:widowControl/>
              <w:kinsoku/>
              <w:wordWrap/>
              <w:overflowPunct/>
              <w:topLinePunct w:val="0"/>
              <w:autoSpaceDE/>
              <w:autoSpaceDN/>
              <w:bidi w:val="0"/>
              <w:adjustRightInd w:val="0"/>
              <w:snapToGrid w:val="0"/>
              <w:spacing w:line="240" w:lineRule="auto"/>
              <w:ind w:left="66" w:right="111" w:firstLine="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1.招标投标过程中，因项目发生变更，现有招标资格条件与项目工程规模不符的；</w:t>
            </w:r>
          </w:p>
          <w:p w14:paraId="5F0ED70D">
            <w:pPr>
              <w:pStyle w:val="43"/>
              <w:keepNext w:val="0"/>
              <w:keepLines w:val="0"/>
              <w:pageBreakBefore w:val="0"/>
              <w:widowControl/>
              <w:kinsoku/>
              <w:wordWrap/>
              <w:overflowPunct/>
              <w:topLinePunct w:val="0"/>
              <w:autoSpaceDE/>
              <w:autoSpaceDN/>
              <w:bidi w:val="0"/>
              <w:adjustRightInd w:val="0"/>
              <w:snapToGrid w:val="0"/>
              <w:spacing w:line="240" w:lineRule="auto"/>
              <w:ind w:left="61" w:right="89" w:firstLine="2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2.国有资金占控股或者主导地位的依法必须进行招标的项目，招标人应当确定排名第一的中标候选人为中标人。 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95FA40E">
            <w:pPr>
              <w:pStyle w:val="43"/>
              <w:keepNext w:val="0"/>
              <w:keepLines w:val="0"/>
              <w:pageBreakBefore w:val="0"/>
              <w:widowControl/>
              <w:kinsoku/>
              <w:wordWrap/>
              <w:overflowPunct/>
              <w:topLinePunct w:val="0"/>
              <w:autoSpaceDE/>
              <w:autoSpaceDN/>
              <w:bidi w:val="0"/>
              <w:adjustRightInd w:val="0"/>
              <w:snapToGrid w:val="0"/>
              <w:spacing w:line="240" w:lineRule="auto"/>
              <w:ind w:left="66"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3.法律法规规定的其他情形。</w:t>
            </w:r>
          </w:p>
        </w:tc>
      </w:tr>
      <w:tr w14:paraId="3411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3" w:hRule="atLeast"/>
          <w:jc w:val="center"/>
        </w:trPr>
        <w:tc>
          <w:tcPr>
            <w:tcW w:w="1031" w:type="dxa"/>
            <w:noWrap w:val="0"/>
            <w:vAlign w:val="center"/>
          </w:tcPr>
          <w:p w14:paraId="476E8083">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8.2</w:t>
            </w:r>
          </w:p>
        </w:tc>
        <w:tc>
          <w:tcPr>
            <w:tcW w:w="2266" w:type="dxa"/>
            <w:noWrap w:val="0"/>
            <w:vAlign w:val="center"/>
          </w:tcPr>
          <w:p w14:paraId="298F87AC">
            <w:pPr>
              <w:pStyle w:val="43"/>
              <w:keepNext w:val="0"/>
              <w:keepLines w:val="0"/>
              <w:pageBreakBefore w:val="0"/>
              <w:widowControl/>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不再招标的情形</w:t>
            </w:r>
          </w:p>
        </w:tc>
        <w:tc>
          <w:tcPr>
            <w:tcW w:w="6518" w:type="dxa"/>
            <w:noWrap w:val="0"/>
            <w:vAlign w:val="center"/>
          </w:tcPr>
          <w:p w14:paraId="6C8E40A7">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重新招标后投标人仍少于</w:t>
            </w:r>
            <w:r>
              <w:rPr>
                <w:rFonts w:hint="eastAsia" w:ascii="宋体" w:hAnsi="宋体" w:eastAsia="宋体" w:cs="宋体"/>
                <w:b w:val="0"/>
                <w:bCs w:val="0"/>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个的，属于必须审批、核准的工程建设项目，报经原审批、核准部门审批、核准后可以不再进行招标。</w:t>
            </w:r>
            <w:r>
              <w:rPr>
                <w:rFonts w:hint="eastAsia" w:ascii="宋体" w:hAnsi="宋体" w:eastAsia="宋体" w:cs="宋体"/>
                <w:color w:val="000000" w:themeColor="text1"/>
                <w:sz w:val="21"/>
                <w:szCs w:val="21"/>
                <w:highlight w:val="none"/>
                <w:lang w:eastAsia="zh-CN"/>
                <w14:textFill>
                  <w14:solidFill>
                    <w14:schemeClr w14:val="tx1"/>
                  </w14:solidFill>
                </w14:textFill>
              </w:rPr>
              <w:t>（其他项目由行政监督部门核定）</w:t>
            </w:r>
          </w:p>
        </w:tc>
      </w:tr>
      <w:tr w14:paraId="7DDAB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2C77715">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10.1</w:t>
            </w:r>
          </w:p>
        </w:tc>
        <w:tc>
          <w:tcPr>
            <w:tcW w:w="2266" w:type="dxa"/>
            <w:noWrap w:val="0"/>
            <w:vAlign w:val="center"/>
          </w:tcPr>
          <w:p w14:paraId="6CDC4197">
            <w:pPr>
              <w:pStyle w:val="43"/>
              <w:keepNext w:val="0"/>
              <w:keepLines w:val="0"/>
              <w:pageBreakBefore w:val="0"/>
              <w:widowControl/>
              <w:kinsoku/>
              <w:wordWrap/>
              <w:overflowPunct/>
              <w:topLinePunct w:val="0"/>
              <w:autoSpaceDE/>
              <w:autoSpaceDN/>
              <w:bidi w:val="0"/>
              <w:adjustRightInd w:val="0"/>
              <w:snapToGrid w:val="0"/>
              <w:spacing w:line="240" w:lineRule="auto"/>
              <w:ind w:right="0" w:rightChars="0"/>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否决投标的</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情</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形</w:t>
            </w:r>
          </w:p>
        </w:tc>
        <w:tc>
          <w:tcPr>
            <w:tcW w:w="6518" w:type="dxa"/>
            <w:noWrap w:val="0"/>
            <w:vAlign w:val="top"/>
          </w:tcPr>
          <w:p w14:paraId="5B78940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凡评标委员会拟作出否决投标决定的，应先向投标人进行书面询问核实。未进行询问核实程序的，不得做出否决投标决定，投标人放弃接受询问核实机会的除外。投标人应自行关注评标委员会发出的澄清并及时答复，在规定的 时限内投标人不参加核实或不予答复的，视为放弃接受询问核实机会。</w:t>
            </w:r>
          </w:p>
          <w:p w14:paraId="6D13C975">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2.投标文件存在以下情形之一的，由评标委员会审核并经过询标程序，其投标文件将被否决：</w:t>
            </w:r>
          </w:p>
          <w:p w14:paraId="7314FFC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（1）符合性内容</w:t>
            </w:r>
          </w:p>
          <w:p w14:paraId="39BFB21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①投标人的营业执照、企业资质、项目负责人（含设计负责</w:t>
            </w:r>
            <w:r>
              <w:rPr>
                <w:rFonts w:hint="eastAsia" w:ascii="宋体" w:hAnsi="宋体" w:eastAsia="宋体" w:cs="宋体"/>
                <w:color w:val="000000" w:themeColor="text1"/>
                <w:sz w:val="21"/>
                <w:szCs w:val="21"/>
                <w:highlight w:val="none"/>
                <w14:textFill>
                  <w14:solidFill>
                    <w14:schemeClr w14:val="tx1"/>
                  </w14:solidFill>
                </w14:textFill>
              </w:rPr>
              <w:t>人、施工负责人）资格、安全生产许可证、业绩条件等条件和标准未满足招标文件实质性响应要求的（以投标人须知前附表第3.5款中“实质性响应招标文件 ”内容为准）；</w:t>
            </w:r>
          </w:p>
          <w:p w14:paraId="60516607">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企业资质动态核查：</w:t>
            </w:r>
            <w:r>
              <w:rPr>
                <w:rFonts w:hint="eastAsia" w:ascii="宋体" w:hAnsi="宋体" w:eastAsia="宋体" w:cs="宋体"/>
                <w:color w:val="000000" w:themeColor="text1"/>
                <w:sz w:val="21"/>
                <w:szCs w:val="21"/>
                <w:highlight w:val="none"/>
                <w:lang w:val="en-US" w:eastAsia="zh-CN"/>
                <w14:textFill>
                  <w14:solidFill>
                    <w14:schemeClr w14:val="tx1"/>
                  </w14:solidFill>
                </w14:textFill>
              </w:rPr>
              <w:t>未提供投标人自招标公告发布之日至投标截止日之间任意一次在“浙江省建筑市场监管公共服务系统”上，参与投标资质的“资质动态核查结果证明”的。</w:t>
            </w:r>
          </w:p>
          <w:p w14:paraId="48031D1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□投标人为非中小企业的，投标人未提供《中小企业声明函》或未按照招标文件所附的《中小企业声明函》格式提供的；</w:t>
            </w:r>
          </w:p>
          <w:p w14:paraId="0CAAB534">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省外企业未按规定办理省外建设工程企业进浙备案手</w:t>
            </w:r>
            <w:r>
              <w:rPr>
                <w:rFonts w:hint="eastAsia" w:ascii="宋体" w:hAnsi="宋体" w:eastAsia="宋体" w:cs="宋体"/>
                <w:color w:val="000000" w:themeColor="text1"/>
                <w:sz w:val="21"/>
                <w:szCs w:val="21"/>
                <w:highlight w:val="none"/>
                <w:lang w:eastAsia="zh-CN"/>
                <w14:textFill>
                  <w14:solidFill>
                    <w14:schemeClr w14:val="tx1"/>
                  </w14:solidFill>
                </w14:textFill>
              </w:rPr>
              <w:t>续的；</w:t>
            </w:r>
          </w:p>
          <w:p w14:paraId="34385F0F">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②投标文件未按招标文件规定的要求（以投标人须知前附表第3.7.3项规定为准）签字或盖章的；投标文件中投标函或投标承诺书未按要求填写的；</w:t>
            </w:r>
          </w:p>
          <w:p w14:paraId="393909EF">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③法定代表人授权委托代理人参加投标或签署书面文件的，委托代理人无有效的授权委托书；</w:t>
            </w:r>
          </w:p>
          <w:p w14:paraId="16787BA4">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④投标人不以自己的名义或投标人未按照招标文件的要求提交投标保证金（含投标保函未按本招标文件格式要求提供）或提供的投标保证金有缺陷而不能接受的；</w:t>
            </w:r>
          </w:p>
          <w:p w14:paraId="166EBB5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⑤投标人（投标人是联合体的，指联合体各方）存在投标须知第1.4.3项情形之一的；</w:t>
            </w:r>
          </w:p>
          <w:p w14:paraId="2DC28A4B">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⑥投标人（投标人是联合体的，指联合体各方）或其拟派的项目负责人、设计负责人、施工负责人不符合招标公告“（三）其他 ”规定的任一情形的；</w:t>
            </w:r>
          </w:p>
          <w:p w14:paraId="4027EFF5">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⑦拟派</w:t>
            </w:r>
            <w:r>
              <w:rPr>
                <w:rFonts w:hint="eastAsia" w:ascii="宋体" w:hAnsi="宋体" w:eastAsia="宋体" w:cs="宋体"/>
                <w:color w:val="000000" w:themeColor="text1"/>
                <w:sz w:val="21"/>
                <w:szCs w:val="21"/>
                <w:highlight w:val="none"/>
                <w:lang w:eastAsia="zh-CN"/>
                <w14:textFill>
                  <w14:solidFill>
                    <w14:schemeClr w14:val="tx1"/>
                  </w14:solidFill>
                </w14:textFill>
              </w:rPr>
              <w:t>项目负责人或</w:t>
            </w:r>
            <w:r>
              <w:rPr>
                <w:rFonts w:hint="eastAsia" w:ascii="宋体" w:hAnsi="宋体" w:eastAsia="宋体" w:cs="宋体"/>
                <w:color w:val="000000" w:themeColor="text1"/>
                <w:sz w:val="21"/>
                <w:szCs w:val="21"/>
                <w:highlight w:val="none"/>
                <w14:textFill>
                  <w14:solidFill>
                    <w14:schemeClr w14:val="tx1"/>
                  </w14:solidFill>
                </w14:textFill>
              </w:rPr>
              <w:t>施工负责人在投标截止日前在其他在建合同工程上担任工程总承包项目负责人、施工负责人（含工程总承包项目中担任施工负责人）的；</w:t>
            </w:r>
          </w:p>
          <w:p w14:paraId="0E1055B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⑧投标人名称或组织结构与开标时提供的不一致的；</w:t>
            </w:r>
          </w:p>
          <w:p w14:paraId="747688A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⑨组成联合体投标的，投标文件未附联合体协议书的；</w:t>
            </w:r>
          </w:p>
          <w:p w14:paraId="4B4ACA3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⑩</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投标人提供的纸质投标文件水印码与电子投标文件不</w:t>
            </w:r>
            <w:r>
              <w:rPr>
                <w:rFonts w:hint="eastAsia" w:ascii="宋体" w:hAnsi="宋体" w:eastAsia="宋体" w:cs="宋体"/>
                <w:color w:val="000000" w:themeColor="text1"/>
                <w:sz w:val="21"/>
                <w:szCs w:val="21"/>
                <w:highlight w:val="none"/>
                <w:lang w:eastAsia="zh-CN"/>
                <w14:textFill>
                  <w14:solidFill>
                    <w14:schemeClr w14:val="tx1"/>
                  </w14:solidFill>
                </w14:textFill>
              </w:rPr>
              <w:t>一致的；</w:t>
            </w:r>
          </w:p>
          <w:p w14:paraId="66793CA6">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⑪评标委员会评标中，发现投标人有下列情形之一的，且经询标澄清投标人无令人信服的理由和可靠证据证明其合理性的，经半数以上成员确认，其投标文件按否决投标处理，不再对其进行评审，也不影响招标工程继续评标。评标结束后，评标委员会应将有串通投标嫌疑的投标文件以及相关评标分析材料及时移交招标投标行政监督部门作进一步的调查处理，即使最终无法认定串通投标行为成立，</w:t>
            </w:r>
          </w:p>
          <w:p w14:paraId="5E4A2C5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也不影响对其按否决投标处理的结果。</w:t>
            </w:r>
          </w:p>
          <w:p w14:paraId="0F4A5831">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A.不同投标人的投标文件由同一单位或者个人编制；</w:t>
            </w:r>
          </w:p>
          <w:p w14:paraId="6E589224">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B.不同投标人的投标文件的文件电子检测码或制作码或创建码相同；</w:t>
            </w:r>
          </w:p>
          <w:p w14:paraId="130FA2A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C.不同投标人委托同一单位或者个人办理投标事宜；</w:t>
            </w:r>
          </w:p>
          <w:p w14:paraId="5921551F">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D.投标文件的编制人接受同一工程招标人委托编制招标文 件（含招标控制价），或接受其他投标人委托编制投标文件的；</w:t>
            </w:r>
          </w:p>
          <w:p w14:paraId="36932CF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E.不同投标人从同一投标单位或者同一自然人的IP地址下载招标文件、上传投标文件、购买电子保函或参加投标的人员为同一标段其他投标人的在职人员；</w:t>
            </w:r>
          </w:p>
          <w:p w14:paraId="06AF0913">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F.不同投标人的投标文件载明的项目管理成员为同一人； G.不同投标人的投标文件异常一致或者投标报价呈规律性差异；</w:t>
            </w:r>
          </w:p>
          <w:p w14:paraId="2D4F217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H.不同投标人的投标文件相互混装；</w:t>
            </w:r>
          </w:p>
          <w:p w14:paraId="43350915">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I.不同投标人的投标保证金从同一单位或者个人的账户转出，或者通过同一单位、个人的账户购买电子保函、担保、保险、银行保函；</w:t>
            </w:r>
          </w:p>
          <w:p w14:paraId="63B7A5A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J.投标人之间协商投标报价等投标文件的实质性内容；</w:t>
            </w:r>
          </w:p>
          <w:p w14:paraId="3E56FB9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K.投标人之间约定中标人；</w:t>
            </w:r>
          </w:p>
          <w:p w14:paraId="71A6BE7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L.投标人之间约定部分投标人放弃投标或者中标；</w:t>
            </w:r>
          </w:p>
          <w:p w14:paraId="5B35A3A6">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N.属于同一集团、协会、商会等组织成员的投标人按照该组织要求协同投标；</w:t>
            </w:r>
          </w:p>
          <w:p w14:paraId="20E8D530">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M.投标人之间为谋取中标或者排斥特定投标人而采取的其他联合行动。</w:t>
            </w:r>
          </w:p>
          <w:p w14:paraId="3AA5B0D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⑫法律、法规、规章规定其他应否决投标的情形。 </w:t>
            </w:r>
          </w:p>
          <w:p w14:paraId="5776FBD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⑬其他：（招标人增加的其他否决条款）。</w:t>
            </w:r>
          </w:p>
          <w:p w14:paraId="29BAFAA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（2）技术性内容</w:t>
            </w:r>
          </w:p>
          <w:p w14:paraId="247C407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①投标文件的设计深度、技术指标、技术标准、工艺流程等未响应招标文件规定的实质性内容的，具体内容如下：</w:t>
            </w:r>
          </w:p>
          <w:p w14:paraId="74797784">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②主要的施工技术方案或安全保障措施不可行的；</w:t>
            </w:r>
          </w:p>
          <w:p w14:paraId="5E1A6A8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③主要施工机械设备不能满足本工程需要的；</w:t>
            </w:r>
          </w:p>
          <w:p w14:paraId="719C64F4">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④采用的验收标准或主要技术指标达不到国家强制性标准的；</w:t>
            </w:r>
          </w:p>
          <w:p w14:paraId="5992E3E6">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⑤采用的质量安全管理措施不能满足国家强制性标准或要求的；</w:t>
            </w:r>
          </w:p>
          <w:p w14:paraId="52794BB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⑥法律、法规、规章规定的其它否决投标情况的；</w:t>
            </w:r>
          </w:p>
          <w:p w14:paraId="7C342B8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⑦其他：</w:t>
            </w:r>
            <w:r>
              <w:rPr>
                <w:rFonts w:hint="eastAsia" w:ascii="宋体" w:hAnsi="宋体" w:eastAsia="宋体" w:cs="宋体"/>
                <w:b/>
                <w:bCs/>
                <w:color w:val="000000" w:themeColor="text1"/>
                <w:sz w:val="21"/>
                <w:szCs w:val="21"/>
                <w:highlight w:val="none"/>
                <w:u w:val="single"/>
                <w:lang w:eastAsia="zh-CN"/>
                <w14:textFill>
                  <w14:solidFill>
                    <w14:schemeClr w14:val="tx1"/>
                  </w14:solidFill>
                </w14:textFill>
              </w:rPr>
              <w:t>投标文件技术标未按招标文件要求编制的</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807E686">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（3）商务性内容</w:t>
            </w:r>
          </w:p>
          <w:p w14:paraId="36FF10E3">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①投标报价高于最高投标限价总价或分项最高投标限价的；</w:t>
            </w:r>
          </w:p>
          <w:p w14:paraId="39B6588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②同一投标人递交两份或多份内容不同的投标文件，或在一份投标文件中对同一招标项目有两个或多个报价，且未声明哪一个有效，按招标文件规定提交备选投标方案的除外；</w:t>
            </w:r>
          </w:p>
          <w:p w14:paraId="4F22870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③投标文件中投标函未按要求填写的；</w:t>
            </w:r>
          </w:p>
          <w:p w14:paraId="2334999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④通过符合性审查的最低评标价比通过符合性审查的次低评标价低</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（在5%-10%范围内，由招标人约定）以上，且投标人对其报价不能充分说明理由，或提供的相关资料无法证明报价不低于其成本价的；</w:t>
            </w:r>
          </w:p>
          <w:p w14:paraId="20A9744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⑤法律、法规、规章规定其他应否决投标的情形。</w:t>
            </w:r>
          </w:p>
          <w:p w14:paraId="5BFDAE1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⑥其他</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760666D2">
            <w:pPr>
              <w:pStyle w:val="44"/>
              <w:keepNext w:val="0"/>
              <w:keepLines w:val="0"/>
              <w:pageBreakBefore w:val="0"/>
              <w:widowControl/>
              <w:numPr>
                <w:ilvl w:val="0"/>
                <w:numId w:val="0"/>
              </w:numPr>
              <w:kinsoku/>
              <w:wordWrap/>
              <w:overflowPunct/>
              <w:topLinePunct w:val="0"/>
              <w:autoSpaceDE/>
              <w:autoSpaceDN/>
              <w:bidi w:val="0"/>
              <w:snapToGrid w:val="0"/>
              <w:spacing w:line="240" w:lineRule="auto"/>
              <w:ind w:left="0" w:firstLine="0" w:firstLineChars="0"/>
              <w:jc w:val="both"/>
              <w:textAlignment w:val="auto"/>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（4）</w:t>
            </w:r>
            <w:r>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t>其他：</w:t>
            </w:r>
          </w:p>
          <w:p w14:paraId="6DD13CAC">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①法律、法规、规章规定其他应否决投标的情形；</w:t>
            </w:r>
          </w:p>
          <w:p w14:paraId="06C70E18">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②在投标截止时间前，投标人被列入失信被执行人名单的；</w:t>
            </w:r>
          </w:p>
          <w:p w14:paraId="6299F319">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③投标人及其拟派项目负责人在本招标文件（招标公告）规定时间范围内有行贿犯罪记录的；</w:t>
            </w:r>
          </w:p>
          <w:p w14:paraId="2153A9F2">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④投标人及其拟派项目负责人被列入建筑市场严重失信名单的、被市场监督管理机关在全国企业信用信息公示系统中列入严重违法失信企业名单的、被人力资源社会保障行政部门列入失信联合惩戒名单（有效期内）并共享至信用信息共享平台</w:t>
            </w:r>
          </w:p>
          <w:p w14:paraId="1F4CE905">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⑤投标人未按投标人须知前附表10.5项，投标人须知第1.4.3项、1.12项和3.6项规定执行的；</w:t>
            </w:r>
          </w:p>
          <w:p w14:paraId="1C53D113">
            <w:pPr>
              <w:pStyle w:val="44"/>
              <w:keepNext w:val="0"/>
              <w:keepLines w:val="0"/>
              <w:pageBreakBefore w:val="0"/>
              <w:widowControl/>
              <w:numPr>
                <w:ilvl w:val="0"/>
                <w:numId w:val="0"/>
              </w:numPr>
              <w:kinsoku/>
              <w:wordWrap/>
              <w:overflowPunct/>
              <w:topLinePunct w:val="0"/>
              <w:autoSpaceDE/>
              <w:autoSpaceDN/>
              <w:bidi w:val="0"/>
              <w:snapToGrid w:val="0"/>
              <w:spacing w:line="240" w:lineRule="auto"/>
              <w:jc w:val="both"/>
              <w:textAlignment w:val="auto"/>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t>⑥存在法律、法规、规章规定的其它否决投标情况的。</w:t>
            </w:r>
          </w:p>
          <w:p w14:paraId="16160597">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t>注：凡评标委员会拟作出否决投标决定的，应先向投标人进行书面询问核对。</w:t>
            </w:r>
          </w:p>
        </w:tc>
      </w:tr>
      <w:tr w14:paraId="6152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6E693CC9">
            <w:pPr>
              <w:pStyle w:val="44"/>
              <w:keepNext w:val="0"/>
              <w:keepLines w:val="0"/>
              <w:pageBreakBefore w:val="0"/>
              <w:numPr>
                <w:ilvl w:val="0"/>
                <w:numId w:val="0"/>
              </w:numPr>
              <w:kinsoku/>
              <w:wordWrap/>
              <w:overflowPunct/>
              <w:topLinePunct w:val="0"/>
              <w:bidi w:val="0"/>
              <w:adjustRightInd/>
              <w:snapToGrid/>
              <w:spacing w:line="240" w:lineRule="auto"/>
              <w:ind w:left="0" w:leftChars="0" w:firstLine="0" w:firstLineChars="0"/>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10.2</w:t>
            </w:r>
          </w:p>
        </w:tc>
        <w:tc>
          <w:tcPr>
            <w:tcW w:w="2266" w:type="dxa"/>
            <w:noWrap w:val="0"/>
            <w:vAlign w:val="center"/>
          </w:tcPr>
          <w:p w14:paraId="08A53ACD">
            <w:pPr>
              <w:pStyle w:val="44"/>
              <w:keepNext w:val="0"/>
              <w:keepLines w:val="0"/>
              <w:pageBreakBefore w:val="0"/>
              <w:numPr>
                <w:ilvl w:val="0"/>
                <w:numId w:val="0"/>
              </w:numPr>
              <w:kinsoku/>
              <w:wordWrap/>
              <w:overflowPunct/>
              <w:topLinePunct w:val="0"/>
              <w:bidi w:val="0"/>
              <w:adjustRightInd/>
              <w:snapToGrid/>
              <w:spacing w:line="240" w:lineRule="auto"/>
              <w:ind w:left="0" w:leftChars="0" w:firstLine="0" w:firstLineChars="0"/>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异议与投诉</w:t>
            </w:r>
          </w:p>
        </w:tc>
        <w:tc>
          <w:tcPr>
            <w:tcW w:w="6518" w:type="dxa"/>
            <w:noWrap w:val="0"/>
            <w:vAlign w:val="center"/>
          </w:tcPr>
          <w:p w14:paraId="797D98C9">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rPr>
              <w:t>1.</w:t>
            </w:r>
            <w:r>
              <w:rPr>
                <w:rFonts w:hint="eastAsia" w:ascii="宋体" w:hAnsi="宋体" w:eastAsia="宋体" w:cs="宋体"/>
                <w:b w:val="0"/>
                <w:bCs w:val="0"/>
                <w:i w:val="0"/>
                <w:iCs w:val="0"/>
                <w:color w:val="auto"/>
                <w:sz w:val="21"/>
                <w:szCs w:val="21"/>
                <w:highlight w:val="none"/>
              </w:rPr>
              <w:t>异议：</w:t>
            </w:r>
          </w:p>
          <w:p w14:paraId="77EC460B">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i w:val="0"/>
                <w:iCs w:val="0"/>
                <w:strike w:val="0"/>
                <w:color w:val="auto"/>
                <w:sz w:val="21"/>
                <w:szCs w:val="21"/>
                <w:highlight w:val="none"/>
              </w:rPr>
            </w:pPr>
            <w:r>
              <w:rPr>
                <w:rFonts w:hint="eastAsia" w:ascii="宋体" w:hAnsi="宋体" w:eastAsia="宋体" w:cs="宋体"/>
                <w:i w:val="0"/>
                <w:iCs w:val="0"/>
                <w:strike w:val="0"/>
                <w:color w:val="auto"/>
                <w:sz w:val="21"/>
                <w:szCs w:val="21"/>
                <w:highlight w:val="none"/>
              </w:rPr>
              <w:t>（</w:t>
            </w:r>
            <w:r>
              <w:rPr>
                <w:rFonts w:hint="eastAsia" w:ascii="宋体" w:hAnsi="宋体" w:eastAsia="宋体" w:cs="宋体"/>
                <w:i w:val="0"/>
                <w:iCs w:val="0"/>
                <w:strike w:val="0"/>
                <w:color w:val="auto"/>
                <w:spacing w:val="0"/>
                <w:sz w:val="21"/>
                <w:szCs w:val="21"/>
                <w:highlight w:val="none"/>
                <w:lang w:val="en-US"/>
              </w:rPr>
              <w:t>1</w:t>
            </w:r>
            <w:r>
              <w:rPr>
                <w:rFonts w:hint="eastAsia" w:ascii="宋体" w:hAnsi="宋体" w:eastAsia="宋体" w:cs="宋体"/>
                <w:i w:val="0"/>
                <w:iCs w:val="0"/>
                <w:strike w:val="0"/>
                <w:color w:val="auto"/>
                <w:sz w:val="21"/>
                <w:szCs w:val="21"/>
                <w:highlight w:val="none"/>
              </w:rPr>
              <w:t>）潜在投标人或者其他利害关系人对招标文件有异议</w:t>
            </w:r>
            <w:r>
              <w:rPr>
                <w:rFonts w:hint="eastAsia" w:ascii="宋体" w:hAnsi="宋体" w:eastAsia="宋体" w:cs="宋体"/>
                <w:i w:val="0"/>
                <w:iCs w:val="0"/>
                <w:strike w:val="0"/>
                <w:color w:val="auto"/>
                <w:spacing w:val="0"/>
                <w:sz w:val="21"/>
                <w:szCs w:val="21"/>
                <w:highlight w:val="none"/>
              </w:rPr>
              <w:t>的，应当在投标</w:t>
            </w:r>
            <w:r>
              <w:rPr>
                <w:rFonts w:hint="eastAsia" w:ascii="宋体" w:hAnsi="宋体" w:eastAsia="宋体" w:cs="宋体"/>
                <w:i w:val="0"/>
                <w:iCs w:val="0"/>
                <w:strike w:val="0"/>
                <w:color w:val="auto"/>
                <w:sz w:val="21"/>
                <w:szCs w:val="21"/>
                <w:highlight w:val="none"/>
              </w:rPr>
              <w:t>截止时间10日前以书面形式向招标人提出。招标人将在收到异议之日起3日内作出书面答复；作出答复前，暂停招标投标活动；</w:t>
            </w:r>
          </w:p>
          <w:p w14:paraId="4895F613">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rPr>
              <w:t>2</w:t>
            </w:r>
            <w:r>
              <w:rPr>
                <w:rFonts w:hint="eastAsia" w:ascii="宋体" w:hAnsi="宋体" w:eastAsia="宋体" w:cs="宋体"/>
                <w:i w:val="0"/>
                <w:iCs w:val="0"/>
                <w:color w:val="auto"/>
                <w:sz w:val="21"/>
                <w:szCs w:val="21"/>
                <w:highlight w:val="none"/>
              </w:rPr>
              <w:t>）投标人认为开标不符合有关规定的，应当在开标现场</w:t>
            </w:r>
            <w:r>
              <w:rPr>
                <w:rFonts w:hint="eastAsia" w:ascii="宋体" w:hAnsi="宋体" w:eastAsia="宋体" w:cs="宋体"/>
                <w:i w:val="0"/>
                <w:iCs w:val="0"/>
                <w:color w:val="auto"/>
                <w:sz w:val="21"/>
                <w:szCs w:val="21"/>
                <w:highlight w:val="none"/>
                <w:u w:val="none"/>
              </w:rPr>
              <w:t>通过</w:t>
            </w:r>
            <w:r>
              <w:rPr>
                <w:rFonts w:hint="eastAsia" w:ascii="宋体" w:hAnsi="宋体" w:eastAsia="宋体" w:cs="宋体"/>
                <w:i w:val="0"/>
                <w:iCs w:val="0"/>
                <w:color w:val="auto"/>
                <w:sz w:val="21"/>
                <w:szCs w:val="21"/>
                <w:highlight w:val="none"/>
                <w:u w:val="single"/>
              </w:rPr>
              <w:t>交易中心电子招投标交易平台</w:t>
            </w:r>
            <w:r>
              <w:rPr>
                <w:rFonts w:hint="eastAsia" w:ascii="宋体" w:hAnsi="宋体" w:eastAsia="宋体" w:cs="宋体"/>
                <w:i w:val="0"/>
                <w:iCs w:val="0"/>
                <w:color w:val="auto"/>
                <w:sz w:val="21"/>
                <w:szCs w:val="21"/>
                <w:highlight w:val="none"/>
              </w:rPr>
              <w:t>向招标人提出异议。招标人将当场对异议给予处理或者告知处理的办法。异议和答复应记入开标记录或者制作专门记录以存档备查；</w:t>
            </w:r>
          </w:p>
          <w:p w14:paraId="6F1BD54D">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pacing w:val="0"/>
                <w:sz w:val="21"/>
                <w:szCs w:val="21"/>
                <w:highlight w:val="none"/>
                <w:lang w:val="en-US"/>
              </w:rPr>
              <w:t>3</w:t>
            </w:r>
            <w:r>
              <w:rPr>
                <w:rFonts w:hint="eastAsia" w:ascii="宋体" w:hAnsi="宋体" w:eastAsia="宋体" w:cs="宋体"/>
                <w:i w:val="0"/>
                <w:iCs w:val="0"/>
                <w:color w:val="auto"/>
                <w:sz w:val="21"/>
                <w:szCs w:val="21"/>
                <w:highlight w:val="none"/>
              </w:rPr>
              <w:t>）投标人及其他利害关系人对评标结果有异议的，应当在中标候选人公示期内以书面形式向招标人提出。招标人将</w:t>
            </w:r>
            <w:r>
              <w:rPr>
                <w:rFonts w:hint="eastAsia" w:ascii="宋体" w:hAnsi="宋体" w:eastAsia="宋体" w:cs="宋体"/>
                <w:i w:val="0"/>
                <w:iCs w:val="0"/>
                <w:color w:val="auto"/>
                <w:spacing w:val="0"/>
                <w:sz w:val="21"/>
                <w:szCs w:val="21"/>
                <w:highlight w:val="none"/>
              </w:rPr>
              <w:t>在收到异议之日起</w:t>
            </w:r>
            <w:r>
              <w:rPr>
                <w:rFonts w:hint="eastAsia" w:ascii="宋体" w:hAnsi="宋体" w:eastAsia="宋体" w:cs="宋体"/>
                <w:i w:val="0"/>
                <w:iCs w:val="0"/>
                <w:color w:val="auto"/>
                <w:sz w:val="21"/>
                <w:szCs w:val="21"/>
                <w:highlight w:val="none"/>
              </w:rPr>
              <w:t>3</w:t>
            </w:r>
            <w:r>
              <w:rPr>
                <w:rFonts w:hint="eastAsia" w:ascii="宋体" w:hAnsi="宋体" w:eastAsia="宋体" w:cs="宋体"/>
                <w:i w:val="0"/>
                <w:iCs w:val="0"/>
                <w:color w:val="auto"/>
                <w:spacing w:val="0"/>
                <w:sz w:val="21"/>
                <w:szCs w:val="21"/>
                <w:highlight w:val="none"/>
              </w:rPr>
              <w:t>日</w:t>
            </w:r>
            <w:r>
              <w:rPr>
                <w:rFonts w:hint="eastAsia" w:ascii="宋体" w:hAnsi="宋体" w:eastAsia="宋体" w:cs="宋体"/>
                <w:i w:val="0"/>
                <w:iCs w:val="0"/>
                <w:color w:val="auto"/>
                <w:sz w:val="21"/>
                <w:szCs w:val="21"/>
                <w:highlight w:val="none"/>
              </w:rPr>
              <w:t>内作出书面答复；作出答复前，暂停招标投标活动。</w:t>
            </w:r>
          </w:p>
          <w:p w14:paraId="5B731192">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rPr>
              <w:t xml:space="preserve">  </w:t>
            </w:r>
            <w:r>
              <w:rPr>
                <w:rFonts w:hint="eastAsia" w:eastAsia="宋体"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lang w:val="en-US"/>
              </w:rPr>
              <w:t xml:space="preserve">  </w:t>
            </w:r>
            <w:r>
              <w:rPr>
                <w:rFonts w:hint="eastAsia" w:ascii="宋体" w:hAnsi="宋体" w:eastAsia="宋体" w:cs="宋体"/>
                <w:i w:val="0"/>
                <w:iCs w:val="0"/>
                <w:color w:val="auto"/>
                <w:sz w:val="21"/>
                <w:szCs w:val="21"/>
                <w:highlight w:val="none"/>
                <w:lang w:val="en-US"/>
              </w:rPr>
              <w:t>。</w:t>
            </w:r>
          </w:p>
          <w:p w14:paraId="44D8D0D2">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lang w:val="en-US"/>
              </w:rPr>
              <w:t>2.</w:t>
            </w:r>
            <w:r>
              <w:rPr>
                <w:rFonts w:hint="eastAsia" w:ascii="宋体" w:hAnsi="宋体" w:eastAsia="宋体" w:cs="宋体"/>
                <w:b w:val="0"/>
                <w:bCs w:val="0"/>
                <w:i w:val="0"/>
                <w:iCs w:val="0"/>
                <w:color w:val="auto"/>
                <w:sz w:val="21"/>
                <w:szCs w:val="21"/>
                <w:highlight w:val="none"/>
              </w:rPr>
              <w:t>投诉：</w:t>
            </w:r>
          </w:p>
          <w:p w14:paraId="42DAE997">
            <w:pPr>
              <w:pStyle w:val="44"/>
              <w:keepNext w:val="0"/>
              <w:keepLines w:val="0"/>
              <w:pageBreakBefore w:val="0"/>
              <w:numPr>
                <w:ilvl w:val="0"/>
                <w:numId w:val="0"/>
              </w:numPr>
              <w:kinsoku/>
              <w:wordWrap/>
              <w:overflowPunct/>
              <w:topLinePunct w:val="0"/>
              <w:bidi w:val="0"/>
              <w:adjustRightInd/>
              <w:snapToGrid/>
              <w:spacing w:line="240" w:lineRule="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lang w:val="en-US" w:eastAsia="zh-CN"/>
              </w:rPr>
              <w:t>1</w:t>
            </w:r>
            <w:r>
              <w:rPr>
                <w:rFonts w:hint="eastAsia" w:ascii="宋体" w:hAnsi="宋体" w:eastAsia="宋体" w:cs="宋体"/>
                <w:i w:val="0"/>
                <w:iCs w:val="0"/>
                <w:color w:val="auto"/>
                <w:spacing w:val="0"/>
                <w:sz w:val="21"/>
                <w:szCs w:val="21"/>
                <w:highlight w:val="none"/>
                <w:lang w:eastAsia="zh-CN"/>
              </w:rPr>
              <w:t>）</w:t>
            </w:r>
            <w:r>
              <w:rPr>
                <w:rFonts w:hint="eastAsia" w:ascii="宋体" w:hAnsi="宋体" w:eastAsia="宋体" w:cs="宋体"/>
                <w:i w:val="0"/>
                <w:iCs w:val="0"/>
                <w:color w:val="auto"/>
                <w:spacing w:val="0"/>
                <w:sz w:val="21"/>
                <w:szCs w:val="21"/>
                <w:highlight w:val="none"/>
              </w:rPr>
              <w:t>投标</w:t>
            </w:r>
            <w:r>
              <w:rPr>
                <w:rFonts w:hint="eastAsia" w:ascii="宋体" w:hAnsi="宋体" w:eastAsia="宋体" w:cs="宋体"/>
                <w:i w:val="0"/>
                <w:iCs w:val="0"/>
                <w:color w:val="auto"/>
                <w:sz w:val="21"/>
                <w:szCs w:val="21"/>
                <w:highlight w:val="none"/>
              </w:rPr>
              <w:t>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r>
              <w:rPr>
                <w:rFonts w:hint="eastAsia" w:ascii="宋体" w:hAnsi="宋体" w:eastAsia="宋体" w:cs="宋体"/>
                <w:i w:val="0"/>
                <w:iCs w:val="0"/>
                <w:color w:val="auto"/>
                <w:sz w:val="21"/>
                <w:szCs w:val="21"/>
                <w:highlight w:val="none"/>
                <w:lang w:eastAsia="zh-CN"/>
              </w:rPr>
              <w:t>。</w:t>
            </w:r>
          </w:p>
          <w:p w14:paraId="401AEF56">
            <w:pPr>
              <w:pStyle w:val="44"/>
              <w:keepNext w:val="0"/>
              <w:keepLines w:val="0"/>
              <w:pageBreakBefore w:val="0"/>
              <w:numPr>
                <w:ilvl w:val="0"/>
                <w:numId w:val="0"/>
              </w:numPr>
              <w:kinsoku/>
              <w:wordWrap/>
              <w:overflowPunct/>
              <w:topLinePunct w:val="0"/>
              <w:bidi w:val="0"/>
              <w:adjustRightInd/>
              <w:snapToGrid/>
              <w:spacing w:line="240" w:lineRule="auto"/>
              <w:ind w:left="0" w:leftChars="0" w:firstLine="0" w:firstLineChars="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）其他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rPr>
              <w:t xml:space="preserve">   </w:t>
            </w:r>
            <w:r>
              <w:rPr>
                <w:rFonts w:hint="eastAsia" w:eastAsia="宋体"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lang w:val="en-US"/>
              </w:rPr>
              <w:t xml:space="preserve">     </w:t>
            </w:r>
            <w:r>
              <w:rPr>
                <w:rFonts w:hint="eastAsia" w:ascii="宋体" w:hAnsi="宋体" w:eastAsia="宋体" w:cs="宋体"/>
                <w:i w:val="0"/>
                <w:iCs w:val="0"/>
                <w:color w:val="auto"/>
                <w:sz w:val="21"/>
                <w:szCs w:val="21"/>
                <w:highlight w:val="none"/>
                <w:lang w:val="en-US"/>
              </w:rPr>
              <w:t>。</w:t>
            </w:r>
          </w:p>
        </w:tc>
      </w:tr>
      <w:tr w14:paraId="2DBC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1B73803D">
            <w:pPr>
              <w:pStyle w:val="44"/>
              <w:keepNext w:val="0"/>
              <w:keepLines w:val="0"/>
              <w:pageBreakBefore w:val="0"/>
              <w:numPr>
                <w:ilvl w:val="0"/>
                <w:numId w:val="0"/>
              </w:numPr>
              <w:kinsoku/>
              <w:wordWrap/>
              <w:overflowPunct/>
              <w:topLinePunct w:val="0"/>
              <w:bidi w:val="0"/>
              <w:adjustRightInd/>
              <w:snapToGrid/>
              <w:spacing w:line="240" w:lineRule="auto"/>
              <w:ind w:left="0" w:leftChars="0" w:firstLine="0" w:firstLineChars="0"/>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10.3</w:t>
            </w:r>
          </w:p>
        </w:tc>
        <w:tc>
          <w:tcPr>
            <w:tcW w:w="2266" w:type="dxa"/>
            <w:noWrap w:val="0"/>
            <w:vAlign w:val="top"/>
          </w:tcPr>
          <w:p w14:paraId="229890D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BF02D6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A906AB2">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35BCBE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924105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AC1D311">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429D81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346B80E">
            <w:pPr>
              <w:pStyle w:val="43"/>
              <w:keepNext w:val="0"/>
              <w:keepLines w:val="0"/>
              <w:pageBreakBefore w:val="0"/>
              <w:widowControl w:val="0"/>
              <w:kinsoku/>
              <w:wordWrap/>
              <w:overflowPunct/>
              <w:topLinePunct w:val="0"/>
              <w:autoSpaceDE/>
              <w:autoSpaceDN/>
              <w:bidi w:val="0"/>
              <w:adjustRightInd w:val="0"/>
              <w:snapToGrid w:val="0"/>
              <w:spacing w:before="78" w:line="240" w:lineRule="auto"/>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定标</w:t>
            </w:r>
          </w:p>
        </w:tc>
        <w:tc>
          <w:tcPr>
            <w:tcW w:w="6518" w:type="dxa"/>
            <w:noWrap w:val="0"/>
            <w:vAlign w:val="top"/>
          </w:tcPr>
          <w:p w14:paraId="35B9A83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1.招标人定标前，将组织:</w:t>
            </w:r>
          </w:p>
          <w:p w14:paraId="3D6459E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核验《安全生产许可证》和有效的安全生产考核合格证书；“浙江省建筑市场监管公共服务系统”上最新资质动态核查结果处于“合格”状态。</w:t>
            </w:r>
          </w:p>
          <w:p w14:paraId="2495575E">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（2）查询拟中标人及拟派项目负责人、施工负责人及设计负责人等是否符合招标公告“（三）其他 ”的要求。</w:t>
            </w:r>
          </w:p>
          <w:p w14:paraId="1103912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□（3）面向中小企业招标的，核验中标候选人的中小企业</w:t>
            </w:r>
            <w:r>
              <w:rPr>
                <w:rFonts w:hint="eastAsia" w:ascii="宋体" w:hAnsi="宋体" w:eastAsia="宋体" w:cs="宋体"/>
                <w:color w:val="000000" w:themeColor="text1"/>
                <w:sz w:val="21"/>
                <w:szCs w:val="21"/>
                <w:highlight w:val="none"/>
                <w:lang w:val="en-US" w:eastAsia="zh-CN"/>
                <w14:textFill>
                  <w14:solidFill>
                    <w14:schemeClr w14:val="tx1"/>
                  </w14:solidFill>
                </w14:textFill>
              </w:rPr>
              <w:t>身份</w:t>
            </w:r>
          </w:p>
          <w:p w14:paraId="0E14E22D">
            <w:pPr>
              <w:pStyle w:val="43"/>
              <w:keepNext w:val="0"/>
              <w:keepLines w:val="0"/>
              <w:pageBreakBefore w:val="0"/>
              <w:widowControl/>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zh-CN" w:bidi="ar-SA"/>
                <w14:textFill>
                  <w14:solidFill>
                    <w14:schemeClr w14:val="tx1"/>
                  </w14:solidFill>
                </w14:textFill>
              </w:rPr>
              <w:t>（4）</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其他：</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u w:val="single"/>
                <w:lang w:val="en-US" w:eastAsia="zh-CN" w:bidi="ar-SA"/>
                <w14:textFill>
                  <w14:solidFill>
                    <w14:schemeClr w14:val="tx1"/>
                  </w14:solidFill>
                </w14:textFill>
              </w:rPr>
              <w:t>/</w:t>
            </w:r>
            <w:r>
              <w:rPr>
                <w:rFonts w:hint="eastAsia" w:ascii="宋体" w:hAnsi="宋体" w:eastAsia="宋体" w:cs="宋体"/>
                <w:i w:val="0"/>
                <w:iCs w:val="0"/>
                <w:snapToGrid w:val="0"/>
                <w:color w:val="000000" w:themeColor="text1"/>
                <w:spacing w:val="0"/>
                <w:kern w:val="0"/>
                <w:sz w:val="21"/>
                <w:szCs w:val="21"/>
                <w:highlight w:val="none"/>
                <w:u w:val="single"/>
                <w:lang w:val="en-US" w:eastAsia="en-US" w:bidi="ar-SA"/>
                <w14:textFill>
                  <w14:solidFill>
                    <w14:schemeClr w14:val="tx1"/>
                  </w14:solidFill>
                </w14:textFill>
              </w:rPr>
              <w:t xml:space="preserve">       </w:t>
            </w: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 xml:space="preserve"> 。</w:t>
            </w:r>
          </w:p>
          <w:p w14:paraId="20C2CF47">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上述凡一项核验不符合招标文件规定的，取消其中标资格，招标人将按照评标委员会提出的中标候选人名单排序依次确定其他中标候选人为中标人或重新招标。</w:t>
            </w:r>
          </w:p>
          <w:p w14:paraId="17E32CBD">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招标人将在评标委员会推荐的中标候选人中确定排名第一的中标候选人为中标人。排名第一的中标候选人放弃中标、因不可抗力不能履行合同、不按照招标文件要求提交履约保证金，或者被查实存在影响中标结果的违法行为等情形，不符合中标条件的，招标人将按照评标委员会提出的中标候选人名单排序依次确定其他中标候选人为中标人或重新招标。</w:t>
            </w:r>
          </w:p>
        </w:tc>
      </w:tr>
      <w:tr w14:paraId="6804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65F3D1F3">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10.4</w:t>
            </w:r>
          </w:p>
        </w:tc>
        <w:tc>
          <w:tcPr>
            <w:tcW w:w="2266" w:type="dxa"/>
            <w:noWrap w:val="0"/>
            <w:vAlign w:val="top"/>
          </w:tcPr>
          <w:p w14:paraId="556EAB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19B136C">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5895742">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437EA83">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EE0F0A6">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FF2D1CA">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FCE889D">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1AB4B40">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7BC17B7">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29EC302">
            <w:pPr>
              <w:pStyle w:val="43"/>
              <w:keepNext w:val="0"/>
              <w:keepLines w:val="0"/>
              <w:pageBreakBefore w:val="0"/>
              <w:widowControl w:val="0"/>
              <w:kinsoku/>
              <w:wordWrap/>
              <w:overflowPunct/>
              <w:topLinePunct w:val="0"/>
              <w:autoSpaceDE/>
              <w:autoSpaceDN/>
              <w:bidi w:val="0"/>
              <w:adjustRightInd w:val="0"/>
              <w:snapToGrid w:val="0"/>
              <w:spacing w:before="78" w:line="240" w:lineRule="auto"/>
              <w:ind w:left="18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193434B">
            <w:pPr>
              <w:pStyle w:val="43"/>
              <w:keepNext w:val="0"/>
              <w:keepLines w:val="0"/>
              <w:pageBreakBefore w:val="0"/>
              <w:widowControl w:val="0"/>
              <w:kinsoku/>
              <w:wordWrap/>
              <w:overflowPunct/>
              <w:topLinePunct w:val="0"/>
              <w:autoSpaceDE/>
              <w:autoSpaceDN/>
              <w:bidi w:val="0"/>
              <w:adjustRightInd w:val="0"/>
              <w:snapToGrid w:val="0"/>
              <w:spacing w:before="78"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在建合同工</w:t>
            </w:r>
          </w:p>
          <w:p w14:paraId="554EC154">
            <w:pPr>
              <w:pStyle w:val="43"/>
              <w:keepNext w:val="0"/>
              <w:keepLines w:val="0"/>
              <w:pageBreakBefore w:val="0"/>
              <w:widowControl w:val="0"/>
              <w:kinsoku/>
              <w:wordWrap/>
              <w:overflowPunct/>
              <w:topLinePunct w:val="0"/>
              <w:autoSpaceDE/>
              <w:autoSpaceDN/>
              <w:bidi w:val="0"/>
              <w:adjustRightInd w:val="0"/>
              <w:snapToGrid w:val="0"/>
              <w:spacing w:before="87"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程的认定及</w:t>
            </w:r>
          </w:p>
          <w:p w14:paraId="7F4B5D3F">
            <w:pPr>
              <w:pStyle w:val="43"/>
              <w:keepNext w:val="0"/>
              <w:keepLines w:val="0"/>
              <w:pageBreakBefore w:val="0"/>
              <w:widowControl w:val="0"/>
              <w:kinsoku/>
              <w:wordWrap/>
              <w:overflowPunct/>
              <w:topLinePunct w:val="0"/>
              <w:autoSpaceDE/>
              <w:autoSpaceDN/>
              <w:bidi w:val="0"/>
              <w:adjustRightInd w:val="0"/>
              <w:snapToGrid w:val="0"/>
              <w:spacing w:before="88" w:line="240" w:lineRule="auto"/>
              <w:jc w:val="center"/>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变更证明</w:t>
            </w:r>
          </w:p>
        </w:tc>
        <w:tc>
          <w:tcPr>
            <w:tcW w:w="6518" w:type="dxa"/>
            <w:noWrap w:val="0"/>
            <w:vAlign w:val="center"/>
          </w:tcPr>
          <w:p w14:paraId="63C69E32">
            <w:pPr>
              <w:pStyle w:val="43"/>
              <w:keepNext w:val="0"/>
              <w:keepLines w:val="0"/>
              <w:pageBreakBefore w:val="0"/>
              <w:widowControl/>
              <w:numPr>
                <w:ilvl w:val="0"/>
                <w:numId w:val="11"/>
              </w:numPr>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对</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项目负责人和</w:t>
            </w:r>
            <w:r>
              <w:rPr>
                <w:rFonts w:hint="eastAsia" w:ascii="宋体" w:hAnsi="宋体" w:eastAsia="宋体" w:cs="宋体"/>
                <w:color w:val="000000" w:themeColor="text1"/>
                <w:sz w:val="21"/>
                <w:szCs w:val="21"/>
                <w:highlight w:val="none"/>
                <w:lang w:val="en-US" w:eastAsia="en-US"/>
                <w14:textFill>
                  <w14:solidFill>
                    <w14:schemeClr w14:val="tx1"/>
                  </w14:solidFill>
                </w14:textFill>
              </w:rPr>
              <w:t>施工负责人“有在建合同工程”的认定</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w:t>
            </w:r>
          </w:p>
          <w:p w14:paraId="3CFE1F03">
            <w:pPr>
              <w:pStyle w:val="43"/>
              <w:keepNext w:val="0"/>
              <w:keepLines w:val="0"/>
              <w:pageBreakBefore w:val="0"/>
              <w:widowControl/>
              <w:numPr>
                <w:ilvl w:val="0"/>
                <w:numId w:val="0"/>
              </w:numPr>
              <w:kinsoku/>
              <w:wordWrap/>
              <w:overflowPunct/>
              <w:topLinePunct w:val="0"/>
              <w:autoSpaceDE/>
              <w:autoSpaceDN/>
              <w:bidi w:val="0"/>
              <w:adjustRightInd w:val="0"/>
              <w:snapToGrid w:val="0"/>
              <w:spacing w:line="240" w:lineRule="auto"/>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（1）拟派</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项目负责人和</w:t>
            </w:r>
            <w:r>
              <w:rPr>
                <w:rFonts w:hint="eastAsia" w:ascii="宋体" w:hAnsi="宋体" w:eastAsia="宋体" w:cs="宋体"/>
                <w:color w:val="000000" w:themeColor="text1"/>
                <w:sz w:val="21"/>
                <w:szCs w:val="21"/>
                <w:highlight w:val="none"/>
                <w:lang w:val="en-US" w:eastAsia="en-US"/>
                <w14:textFill>
                  <w14:solidFill>
                    <w14:schemeClr w14:val="tx1"/>
                  </w14:solidFill>
                </w14:textFill>
              </w:rPr>
              <w:t>施工负责人在投标截止时间尚有在其他在建合同工程中担任工程总承包项目负责人、施工负责人（含工程总承包项目中担任施工负责人）的情形为“有在建合同工程 ”。</w:t>
            </w:r>
          </w:p>
          <w:p w14:paraId="4718E7F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（2）其他工程项目，包括在中华人民共和国境内所有建设工程，不受地域、行业和投资性质的限制。</w:t>
            </w:r>
          </w:p>
          <w:p w14:paraId="2C740CF7">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（3）在建合同工程的时间界定：在建合同工程的开始时间为合同工程中标通知书发出日期，或者不通过招标方式的则以合同签订日期为开始时间，结束时间为该合同工程验收合格或合同解除日期）。</w:t>
            </w:r>
          </w:p>
          <w:p w14:paraId="3AE3E61E">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以下情形视为“有在建合同工程”：</w:t>
            </w:r>
          </w:p>
          <w:p w14:paraId="0B22D285">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（1）合同协议书尚未签订的，中标通知书中载明的项目负责人；</w:t>
            </w:r>
          </w:p>
          <w:p w14:paraId="2378D2C7">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（2）合同协议书已经签订，合同协议书中明确的项目负责人；</w:t>
            </w:r>
          </w:p>
          <w:p w14:paraId="71102130">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项目负责人和</w:t>
            </w:r>
            <w:r>
              <w:rPr>
                <w:rFonts w:hint="eastAsia" w:ascii="宋体" w:hAnsi="宋体" w:eastAsia="宋体" w:cs="宋体"/>
                <w:color w:val="000000" w:themeColor="text1"/>
                <w:sz w:val="21"/>
                <w:szCs w:val="21"/>
                <w:highlight w:val="none"/>
                <w:lang w:val="en-US" w:eastAsia="en-US"/>
                <w14:textFill>
                  <w14:solidFill>
                    <w14:schemeClr w14:val="tx1"/>
                  </w14:solidFill>
                </w14:textFill>
              </w:rPr>
              <w:t>施工负责人发生更换的，以现任</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项目负责人和</w:t>
            </w:r>
            <w:r>
              <w:rPr>
                <w:rFonts w:hint="eastAsia" w:ascii="宋体" w:hAnsi="宋体" w:eastAsia="宋体" w:cs="宋体"/>
                <w:color w:val="000000" w:themeColor="text1"/>
                <w:sz w:val="21"/>
                <w:szCs w:val="21"/>
                <w:highlight w:val="none"/>
                <w:lang w:val="en-US" w:eastAsia="en-US"/>
                <w14:textFill>
                  <w14:solidFill>
                    <w14:schemeClr w14:val="tx1"/>
                  </w14:solidFill>
                </w14:textFill>
              </w:rPr>
              <w:t>施工负责人视为有“在建合同工程 ”。</w:t>
            </w:r>
          </w:p>
          <w:p w14:paraId="3F62EA4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2.在建项目的施工负责人办理更换后，投标时需提供的资料：</w:t>
            </w:r>
          </w:p>
          <w:p w14:paraId="438D6E8B">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（1）项目业主同意更换的证明；</w:t>
            </w:r>
          </w:p>
          <w:p w14:paraId="359EA96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（2）原</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项目负责人和</w:t>
            </w:r>
            <w:r>
              <w:rPr>
                <w:rFonts w:hint="eastAsia" w:ascii="宋体" w:hAnsi="宋体" w:eastAsia="宋体" w:cs="宋体"/>
                <w:color w:val="000000" w:themeColor="text1"/>
                <w:sz w:val="21"/>
                <w:szCs w:val="21"/>
                <w:highlight w:val="none"/>
                <w:lang w:val="en-US" w:eastAsia="en-US"/>
                <w14:textFill>
                  <w14:solidFill>
                    <w14:schemeClr w14:val="tx1"/>
                  </w14:solidFill>
                </w14:textFill>
              </w:rPr>
              <w:t>施工负责人在建项目信息有备案在建设主管部门的，应提供建设主管部门同意更换的证明或网上变更信息原件的复制件；</w:t>
            </w:r>
          </w:p>
          <w:p w14:paraId="2105A1BD">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3.在建合同工程和人员信息可参照全国和浙江省建筑市场监管公共服务系统发布的信息。</w:t>
            </w:r>
          </w:p>
        </w:tc>
      </w:tr>
      <w:tr w14:paraId="4B64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DC97DD7">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10.</w:t>
            </w:r>
            <w:r>
              <w:rPr>
                <w:rFonts w:hint="eastAsia" w:ascii="宋体" w:hAnsi="宋体" w:eastAsia="宋体" w:cs="宋体"/>
                <w:i w:val="0"/>
                <w:iCs w:val="0"/>
                <w:color w:val="auto"/>
                <w:sz w:val="21"/>
                <w:szCs w:val="21"/>
                <w:highlight w:val="none"/>
                <w:lang w:val="en-US" w:eastAsia="zh-CN"/>
              </w:rPr>
              <w:t>5</w:t>
            </w:r>
          </w:p>
        </w:tc>
        <w:tc>
          <w:tcPr>
            <w:tcW w:w="2266" w:type="dxa"/>
            <w:noWrap w:val="0"/>
            <w:vAlign w:val="center"/>
          </w:tcPr>
          <w:p w14:paraId="6F86A739">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投标文件的澄清、说明</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补正</w:t>
            </w:r>
          </w:p>
        </w:tc>
        <w:tc>
          <w:tcPr>
            <w:tcW w:w="6518" w:type="dxa"/>
            <w:noWrap w:val="0"/>
            <w:vAlign w:val="center"/>
          </w:tcPr>
          <w:p w14:paraId="08C320FA">
            <w:pPr>
              <w:pStyle w:val="45"/>
              <w:keepNext w:val="0"/>
              <w:keepLines w:val="0"/>
              <w:pageBreakBefore w:val="0"/>
              <w:widowControl w:val="0"/>
              <w:kinsoku/>
              <w:wordWrap/>
              <w:overflowPunct/>
              <w:topLinePunct w:val="0"/>
              <w:autoSpaceDE w:val="0"/>
              <w:autoSpaceDN w:val="0"/>
              <w:bidi w:val="0"/>
              <w:adjustRightInd/>
              <w:snapToGrid/>
              <w:spacing w:line="240" w:lineRule="auto"/>
              <w:jc w:val="both"/>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val="en-US"/>
              </w:rPr>
              <w:t>1.</w:t>
            </w:r>
            <w:r>
              <w:rPr>
                <w:rFonts w:hint="eastAsia" w:ascii="宋体" w:hAnsi="宋体" w:eastAsia="宋体" w:cs="宋体"/>
                <w:i w:val="0"/>
                <w:iCs w:val="0"/>
                <w:color w:val="auto"/>
                <w:sz w:val="21"/>
                <w:szCs w:val="21"/>
                <w:highlight w:val="none"/>
              </w:rPr>
              <w:t>澄清回复时间不得超过在发出通知后</w:t>
            </w:r>
            <w:r>
              <w:rPr>
                <w:rFonts w:hint="eastAsia" w:cs="宋体"/>
                <w:b/>
                <w:bCs/>
                <w:i w:val="0"/>
                <w:iCs w:val="0"/>
                <w:color w:val="auto"/>
                <w:sz w:val="21"/>
                <w:szCs w:val="21"/>
                <w:highlight w:val="none"/>
                <w:u w:val="single"/>
                <w:lang w:val="en-US" w:eastAsia="zh-CN"/>
              </w:rPr>
              <w:t>30</w:t>
            </w:r>
            <w:r>
              <w:rPr>
                <w:rFonts w:hint="eastAsia" w:ascii="宋体" w:hAnsi="宋体" w:eastAsia="宋体" w:cs="宋体"/>
                <w:b/>
                <w:bCs/>
                <w:i w:val="0"/>
                <w:iCs w:val="0"/>
                <w:color w:val="auto"/>
                <w:sz w:val="21"/>
                <w:szCs w:val="21"/>
                <w:highlight w:val="none"/>
              </w:rPr>
              <w:t>分钟</w:t>
            </w:r>
            <w:r>
              <w:rPr>
                <w:rFonts w:hint="eastAsia" w:ascii="宋体" w:hAnsi="宋体" w:eastAsia="宋体" w:cs="宋体"/>
                <w:i w:val="0"/>
                <w:iCs w:val="0"/>
                <w:color w:val="auto"/>
                <w:sz w:val="21"/>
                <w:szCs w:val="21"/>
                <w:highlight w:val="none"/>
              </w:rPr>
              <w:t>，投标人逾期或未按要求澄清回复的，将视为不予回复或确认，评标委员会有权否决其投标。投标人通讯不畅通，导致不能及时联系的，视作为投标人不予回复或确认。</w:t>
            </w:r>
          </w:p>
          <w:p w14:paraId="4A5E3143">
            <w:pPr>
              <w:pStyle w:val="45"/>
              <w:keepNext w:val="0"/>
              <w:keepLines w:val="0"/>
              <w:pageBreakBefore w:val="0"/>
              <w:widowControl w:val="0"/>
              <w:kinsoku/>
              <w:wordWrap/>
              <w:overflowPunct/>
              <w:topLinePunct w:val="0"/>
              <w:autoSpaceDE w:val="0"/>
              <w:autoSpaceDN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lang w:val="en-US"/>
              </w:rPr>
              <w:t>.</w:t>
            </w:r>
            <w:r>
              <w:rPr>
                <w:rFonts w:hint="eastAsia" w:ascii="宋体" w:hAnsi="宋体" w:eastAsia="宋体" w:cs="宋体"/>
                <w:i w:val="0"/>
                <w:iCs w:val="0"/>
                <w:color w:val="auto"/>
                <w:sz w:val="21"/>
                <w:szCs w:val="21"/>
                <w:highlight w:val="none"/>
              </w:rPr>
              <w:t>评标委员会对投标人提交的澄清、说明或补正有疑问的，可以要求投标人进一步澄清、说明或补正，直至满足评标委员会的要求。</w:t>
            </w:r>
          </w:p>
          <w:p w14:paraId="77E922FC">
            <w:pPr>
              <w:pStyle w:val="45"/>
              <w:keepNext w:val="0"/>
              <w:keepLines w:val="0"/>
              <w:pageBreakBefore w:val="0"/>
              <w:widowControl w:val="0"/>
              <w:kinsoku/>
              <w:wordWrap/>
              <w:overflowPunct/>
              <w:topLinePunct w:val="0"/>
              <w:autoSpaceDE w:val="0"/>
              <w:autoSpaceDN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rPr>
              <w:t>3.</w:t>
            </w:r>
            <w:r>
              <w:rPr>
                <w:rFonts w:hint="eastAsia" w:ascii="宋体" w:hAnsi="宋体" w:eastAsia="宋体" w:cs="宋体"/>
                <w:i w:val="0"/>
                <w:iCs w:val="0"/>
                <w:color w:val="auto"/>
                <w:sz w:val="21"/>
                <w:szCs w:val="21"/>
                <w:highlight w:val="none"/>
              </w:rPr>
              <w:t>投标人拒不按照要求对投标文件进行澄清、说明或者补正的，评标委员会可以否决其投标。</w:t>
            </w:r>
          </w:p>
        </w:tc>
      </w:tr>
      <w:tr w14:paraId="7A613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61BCA322">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□10.</w:t>
            </w:r>
            <w:r>
              <w:rPr>
                <w:rFonts w:hint="eastAsia" w:ascii="宋体" w:hAnsi="宋体" w:eastAsia="宋体" w:cs="宋体"/>
                <w:i w:val="0"/>
                <w:iCs w:val="0"/>
                <w:color w:val="auto"/>
                <w:sz w:val="21"/>
                <w:szCs w:val="21"/>
                <w:highlight w:val="none"/>
                <w:lang w:val="en-US" w:eastAsia="zh-CN"/>
              </w:rPr>
              <w:t>6</w:t>
            </w:r>
          </w:p>
        </w:tc>
        <w:tc>
          <w:tcPr>
            <w:tcW w:w="2266" w:type="dxa"/>
            <w:noWrap w:val="0"/>
            <w:vAlign w:val="center"/>
          </w:tcPr>
          <w:p w14:paraId="47F4B42E">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陈述和答辩</w:t>
            </w:r>
          </w:p>
        </w:tc>
        <w:tc>
          <w:tcPr>
            <w:tcW w:w="6518" w:type="dxa"/>
            <w:noWrap w:val="0"/>
            <w:vAlign w:val="center"/>
          </w:tcPr>
          <w:p w14:paraId="337B48FC">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1.陈述和答辩人：通过资格审查和技术评审的有效投标人的拟派项目负责人。</w:t>
            </w:r>
          </w:p>
          <w:p w14:paraId="2C56F983">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2.答辩方式：□现场语音答复□书面答复□电子平台在线答复</w:t>
            </w:r>
          </w:p>
          <w:p w14:paraId="4D7648B5">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3.陈述和答辩通知方式及相关规定：</w:t>
            </w:r>
          </w:p>
          <w:p w14:paraId="7406F431">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（1）入围后进行预通知（通过电话或短信等方式发送给开标委托人，提醒项目负责人做好陈述和答辩准备）；</w:t>
            </w:r>
          </w:p>
          <w:p w14:paraId="642EE336">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（2）技术标评审评分</w:t>
            </w:r>
            <w:r>
              <w:rPr>
                <w:rFonts w:hint="eastAsia" w:ascii="宋体" w:hAnsi="宋体" w:eastAsia="宋体" w:cs="宋体"/>
                <w:i w:val="0"/>
                <w:iCs w:val="0"/>
                <w:color w:val="auto"/>
                <w:sz w:val="21"/>
                <w:szCs w:val="21"/>
                <w:highlight w:val="none"/>
                <w:lang w:eastAsia="zh-CN"/>
              </w:rPr>
              <w:t>过程中</w:t>
            </w:r>
            <w:r>
              <w:rPr>
                <w:rFonts w:hint="eastAsia" w:ascii="宋体" w:hAnsi="宋体" w:eastAsia="宋体" w:cs="宋体"/>
                <w:i w:val="0"/>
                <w:iCs w:val="0"/>
                <w:color w:val="auto"/>
                <w:sz w:val="21"/>
                <w:szCs w:val="21"/>
                <w:highlight w:val="none"/>
              </w:rPr>
              <w:t>正式通知（通过电话或短信等方式发送给开标委托人，通知项目负责人进行陈述和答辩）。项目负责人未按通知要求的时间到达指定地点的，视为自动放弃陈述和答辩，该项按0分处理。</w:t>
            </w:r>
          </w:p>
          <w:p w14:paraId="79FE8F88">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（3）陈述和答辩人应在陈述和答辩问题的范围内进行陈述和答辩。</w:t>
            </w:r>
          </w:p>
          <w:p w14:paraId="562C748A">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4.陈述和答辩地点：</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w:t>
            </w:r>
          </w:p>
          <w:p w14:paraId="57C1FB9D">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5.陈述和答辩问题：可在招标文件中公布，或者由评标委员会根据招标文件及评审因素内容统一拟定，原则上由评标委员会负责人执笔。</w:t>
            </w:r>
          </w:p>
          <w:p w14:paraId="309557B7">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6.参加答辩人员在进入答辩区域后须缴存通讯工具，进场不允许携带资料。</w:t>
            </w:r>
          </w:p>
          <w:p w14:paraId="283C707A">
            <w:pPr>
              <w:pStyle w:val="42"/>
              <w:keepNext w:val="0"/>
              <w:keepLines w:val="0"/>
              <w:pageBreakBefore w:val="0"/>
              <w:kinsoku/>
              <w:wordWrap/>
              <w:overflowPunct/>
              <w:topLinePunct w:val="0"/>
              <w:bidi w:val="0"/>
              <w:adjustRightInd/>
              <w:snapToGrid/>
              <w:spacing w:line="240" w:lineRule="auto"/>
              <w:jc w:val="both"/>
              <w:rPr>
                <w:rFonts w:hint="eastAsia" w:ascii="宋体" w:hAnsi="宋体" w:eastAsia="宋体" w:cs="宋体"/>
                <w:i w:val="0"/>
                <w:iCs w:val="0"/>
                <w:color w:val="auto"/>
                <w:sz w:val="21"/>
                <w:szCs w:val="21"/>
                <w:highlight w:val="none"/>
                <w:lang w:val="en-US"/>
              </w:rPr>
            </w:pP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lang w:val="en-US" w:eastAsia="zh-CN"/>
              </w:rPr>
              <w:t>7.</w:t>
            </w:r>
            <w:r>
              <w:rPr>
                <w:rFonts w:hint="eastAsia" w:ascii="宋体" w:hAnsi="宋体" w:eastAsia="宋体" w:cs="宋体"/>
                <w:i w:val="0"/>
                <w:iCs w:val="0"/>
                <w:color w:val="auto"/>
                <w:sz w:val="21"/>
                <w:szCs w:val="21"/>
                <w:highlight w:val="none"/>
              </w:rPr>
              <w:t>电子平台在线答复</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u w:val="single"/>
                <w:lang w:val="en-US" w:eastAsia="zh-CN"/>
              </w:rPr>
              <w:t xml:space="preserve">     /     </w:t>
            </w:r>
            <w:r>
              <w:rPr>
                <w:rFonts w:hint="eastAsia" w:ascii="宋体" w:hAnsi="宋体" w:eastAsia="宋体" w:cs="宋体"/>
                <w:i w:val="0"/>
                <w:iCs w:val="0"/>
                <w:color w:val="auto"/>
                <w:sz w:val="21"/>
                <w:szCs w:val="21"/>
                <w:highlight w:val="none"/>
                <w:u w:val="none"/>
                <w:lang w:val="en-US" w:eastAsia="zh-CN"/>
              </w:rPr>
              <w:t xml:space="preserve"> 。</w:t>
            </w:r>
          </w:p>
        </w:tc>
      </w:tr>
      <w:tr w14:paraId="42EA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3E7A53E8">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rPr>
              <w:t>10.</w:t>
            </w:r>
            <w:r>
              <w:rPr>
                <w:rFonts w:hint="eastAsia" w:ascii="宋体" w:hAnsi="宋体" w:eastAsia="宋体" w:cs="宋体"/>
                <w:i w:val="0"/>
                <w:iCs w:val="0"/>
                <w:color w:val="auto"/>
                <w:sz w:val="21"/>
                <w:szCs w:val="21"/>
                <w:highlight w:val="none"/>
                <w:lang w:val="en-US" w:eastAsia="zh-CN"/>
              </w:rPr>
              <w:t>7</w:t>
            </w:r>
          </w:p>
        </w:tc>
        <w:tc>
          <w:tcPr>
            <w:tcW w:w="2266" w:type="dxa"/>
            <w:noWrap w:val="0"/>
            <w:vAlign w:val="center"/>
          </w:tcPr>
          <w:p w14:paraId="55738A66">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cs="宋体"/>
                <w:i w:val="0"/>
                <w:iCs w:val="0"/>
                <w:color w:val="auto"/>
                <w:sz w:val="21"/>
                <w:szCs w:val="21"/>
                <w:highlight w:val="none"/>
                <w:lang w:eastAsia="zh-CN"/>
              </w:rPr>
              <w:t>特殊</w:t>
            </w:r>
            <w:r>
              <w:rPr>
                <w:rFonts w:hint="eastAsia" w:ascii="宋体" w:hAnsi="宋体" w:eastAsia="宋体" w:cs="宋体"/>
                <w:i w:val="0"/>
                <w:iCs w:val="0"/>
                <w:color w:val="auto"/>
                <w:sz w:val="21"/>
                <w:szCs w:val="21"/>
                <w:highlight w:val="none"/>
              </w:rPr>
              <w:t>说明</w:t>
            </w:r>
          </w:p>
        </w:tc>
        <w:tc>
          <w:tcPr>
            <w:tcW w:w="6518" w:type="dxa"/>
            <w:noWrap w:val="0"/>
            <w:vAlign w:val="center"/>
          </w:tcPr>
          <w:p w14:paraId="457A6B59">
            <w:pPr>
              <w:keepNext w:val="0"/>
              <w:keepLines w:val="0"/>
              <w:pageBreakBefore w:val="0"/>
              <w:numPr>
                <w:ilvl w:val="0"/>
                <w:numId w:val="0"/>
              </w:numPr>
              <w:tabs>
                <w:tab w:val="left" w:pos="9360"/>
              </w:tabs>
              <w:kinsoku/>
              <w:wordWrap/>
              <w:overflowPunct/>
              <w:topLinePunct w:val="0"/>
              <w:bidi w:val="0"/>
              <w:adjustRightInd/>
              <w:snapToGrid/>
              <w:spacing w:line="240" w:lineRule="auto"/>
              <w:ind w:left="0" w:leftChars="0" w:firstLine="0" w:firstLineChars="0"/>
              <w:jc w:val="both"/>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 投标人投标函与投标函附录不一致的，以投标人投标函为准。</w:t>
            </w:r>
          </w:p>
          <w:p w14:paraId="511C0B54">
            <w:pPr>
              <w:keepNext w:val="0"/>
              <w:keepLines w:val="0"/>
              <w:pageBreakBefore w:val="0"/>
              <w:numPr>
                <w:ilvl w:val="0"/>
                <w:numId w:val="0"/>
              </w:numPr>
              <w:tabs>
                <w:tab w:val="left" w:pos="9360"/>
              </w:tabs>
              <w:kinsoku/>
              <w:wordWrap/>
              <w:overflowPunct/>
              <w:topLinePunct w:val="0"/>
              <w:bidi w:val="0"/>
              <w:adjustRightInd/>
              <w:snapToGrid/>
              <w:spacing w:line="240" w:lineRule="auto"/>
              <w:ind w:left="0" w:leftChars="0" w:firstLine="0" w:firstLineChars="0"/>
              <w:jc w:val="both"/>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2. 其他：</w:t>
            </w:r>
            <w:r>
              <w:rPr>
                <w:rFonts w:hint="eastAsia" w:ascii="宋体" w:hAnsi="宋体" w:eastAsia="宋体" w:cs="宋体"/>
                <w:i w:val="0"/>
                <w:iCs w:val="0"/>
                <w:color w:val="auto"/>
                <w:kern w:val="2"/>
                <w:sz w:val="21"/>
                <w:szCs w:val="21"/>
                <w:highlight w:val="none"/>
                <w:u w:val="single"/>
                <w:lang w:val="en-US" w:eastAsia="zh-CN" w:bidi="ar-SA"/>
              </w:rPr>
              <w:t xml:space="preserve">   /     </w:t>
            </w:r>
            <w:r>
              <w:rPr>
                <w:rFonts w:hint="eastAsia" w:ascii="宋体" w:hAnsi="宋体" w:eastAsia="宋体" w:cs="宋体"/>
                <w:i w:val="0"/>
                <w:iCs w:val="0"/>
                <w:color w:val="auto"/>
                <w:kern w:val="2"/>
                <w:sz w:val="21"/>
                <w:szCs w:val="21"/>
                <w:highlight w:val="none"/>
                <w:lang w:val="en-US" w:eastAsia="zh-CN" w:bidi="ar-SA"/>
              </w:rPr>
              <w:t xml:space="preserve">  。</w:t>
            </w:r>
          </w:p>
        </w:tc>
      </w:tr>
      <w:tr w14:paraId="3DEA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5C7E09A0">
            <w:pPr>
              <w:pStyle w:val="42"/>
              <w:keepNext w:val="0"/>
              <w:keepLines w:val="0"/>
              <w:pageBreakBefore w:val="0"/>
              <w:kinsoku/>
              <w:wordWrap/>
              <w:overflowPunct/>
              <w:topLinePunct w:val="0"/>
              <w:bidi w:val="0"/>
              <w:adjustRightInd/>
              <w:snapToGrid/>
              <w:spacing w:line="240" w:lineRule="auto"/>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10.8</w:t>
            </w:r>
          </w:p>
        </w:tc>
        <w:tc>
          <w:tcPr>
            <w:tcW w:w="2266" w:type="dxa"/>
            <w:noWrap w:val="0"/>
            <w:vAlign w:val="center"/>
          </w:tcPr>
          <w:p w14:paraId="02FCCA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4F74D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D651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00F66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1139D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28FB8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442330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9DC796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8E2F4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45DB8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D885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1E0415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6E8BA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880363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C65C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50FB8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1B77CD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4F0C961">
            <w:pPr>
              <w:pStyle w:val="43"/>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i w:val="0"/>
                <w:iCs w:val="0"/>
                <w:color w:val="000000" w:themeColor="text1"/>
                <w:spacing w:val="0"/>
                <w:kern w:val="2"/>
                <w:sz w:val="21"/>
                <w:szCs w:val="21"/>
                <w:highlight w:val="none"/>
                <w:lang w:val="en-US" w:eastAsia="en-US" w:bidi="ar-SA"/>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en-US"/>
                <w14:textFill>
                  <w14:solidFill>
                    <w14:schemeClr w14:val="tx1"/>
                  </w14:solidFill>
                </w14:textFill>
              </w:rPr>
              <w:t>其他</w:t>
            </w:r>
          </w:p>
        </w:tc>
        <w:tc>
          <w:tcPr>
            <w:tcW w:w="6518" w:type="dxa"/>
            <w:noWrap w:val="0"/>
            <w:vAlign w:val="top"/>
          </w:tcPr>
          <w:p w14:paraId="051FED8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1.本前附表是投标人须知正文内容的补充和细化，应当与正文内容一致。如本前附表与正文内容表述不一，以本前附表为准。</w:t>
            </w:r>
          </w:p>
          <w:p w14:paraId="024D7DC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□2.暂估价：</w:t>
            </w:r>
          </w:p>
          <w:p w14:paraId="48714773">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（1）内容：</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 ；</w:t>
            </w:r>
          </w:p>
          <w:p w14:paraId="6C0AEBA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（2）金额：</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 ；</w:t>
            </w:r>
          </w:p>
          <w:p w14:paraId="65FA158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 占招标控制价比例：</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 ；</w:t>
            </w:r>
          </w:p>
          <w:p w14:paraId="264B23BE">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（4）招标计划及内容：</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en-US"/>
                <w14:textFill>
                  <w14:solidFill>
                    <w14:schemeClr w14:val="tx1"/>
                  </w14:solidFill>
                </w14:textFill>
              </w:rPr>
              <w:t>。</w:t>
            </w:r>
          </w:p>
          <w:p w14:paraId="0AE5EE01">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3.价款结算方式：详见专用合同条款</w:t>
            </w:r>
          </w:p>
          <w:p w14:paraId="38293851">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4.农民工工资保证金：</w:t>
            </w:r>
          </w:p>
          <w:p w14:paraId="0512410B">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（1）投标人应在投标前仔细核查本企业农民工工资保证金缴纳情况，应按当地有关农民工工资保证金管理制度执行。 </w:t>
            </w:r>
          </w:p>
          <w:p w14:paraId="181F27D7">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（2）农民工工资支付按照当地相关文件执行，具体在合同专用条款中明确。</w:t>
            </w:r>
          </w:p>
          <w:p w14:paraId="2E97AD50">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en-US"/>
                <w14:textFill>
                  <w14:solidFill>
                    <w14:schemeClr w14:val="tx1"/>
                  </w14:solidFill>
                </w14:textFill>
              </w:rPr>
              <w:t>5.投标人存在撤销投标文件、无正当理由放弃中标、不与招标人签订书面合同等情形或者在本标段招投标过程中被行政监督部门查实存在违法行为的，招标人组织重新招标时将拒绝其单独或组建联合体方式再次参与本标段投标。</w:t>
            </w:r>
          </w:p>
          <w:p w14:paraId="031DB31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6.招标人应当按规定向中标人提供工程款支付担保。</w:t>
            </w:r>
          </w:p>
          <w:p w14:paraId="43D70278">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7.创安全文明标准化工地等级要求：</w:t>
            </w:r>
          </w:p>
          <w:p w14:paraId="0F4445ED">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8.工伤保险按相关规定要求执行。</w:t>
            </w:r>
          </w:p>
          <w:p w14:paraId="0EE6FC8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9.本招标文件项目负责人一般情况下是指工程总承包项目经理。</w:t>
            </w:r>
          </w:p>
          <w:p w14:paraId="4D03B0D0">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10.本招标文件如未做特别说明，联合体投标时投标人指联合体各方。</w:t>
            </w:r>
          </w:p>
          <w:p w14:paraId="3E52EA1A">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11.本招标文件信用评价执行《浙江省建筑施工企业信用评价的实施意见》 《浙江省注册建造师信用评价的实施意见》。</w:t>
            </w:r>
          </w:p>
          <w:p w14:paraId="226D38FC">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12.投标人应在投标前自行做好“浙江省建筑市场监管公共服务系统 ”相关信息的维护工作，并对企业资质、人员资格、项目状况、信用评价等信息的真实性、准确性、完整性负责。</w:t>
            </w:r>
          </w:p>
          <w:p w14:paraId="2A4FCAC9">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13.其他：</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 w:val="21"/>
                <w:szCs w:val="21"/>
                <w:highlight w:val="none"/>
                <w:u w:val="single"/>
                <w:lang w:val="en-US"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 。</w:t>
            </w:r>
          </w:p>
        </w:tc>
      </w:tr>
      <w:tr w14:paraId="302F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656F438F">
            <w:pPr>
              <w:pStyle w:val="42"/>
              <w:keepNext w:val="0"/>
              <w:keepLines w:val="0"/>
              <w:pageBreakBefore w:val="0"/>
              <w:kinsoku/>
              <w:wordWrap/>
              <w:overflowPunct/>
              <w:topLinePunct w:val="0"/>
              <w:bidi w:val="0"/>
              <w:snapToGrid w:val="0"/>
              <w:spacing w:line="240" w:lineRule="auto"/>
              <w:jc w:val="center"/>
              <w:rPr>
                <w:rFonts w:hint="eastAsia" w:ascii="宋体" w:hAnsi="宋体" w:eastAsia="宋体" w:cs="宋体"/>
                <w:b/>
                <w:bCs/>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21"/>
                <w:szCs w:val="21"/>
                <w:highlight w:val="none"/>
                <w:lang w:val="en-US" w:eastAsia="zh-CN"/>
                <w14:textFill>
                  <w14:solidFill>
                    <w14:schemeClr w14:val="tx1"/>
                  </w14:solidFill>
                </w14:textFill>
              </w:rPr>
              <w:t>10.9</w:t>
            </w:r>
          </w:p>
        </w:tc>
        <w:tc>
          <w:tcPr>
            <w:tcW w:w="2266" w:type="dxa"/>
            <w:noWrap w:val="0"/>
            <w:vAlign w:val="center"/>
          </w:tcPr>
          <w:p w14:paraId="6BE7E46C">
            <w:pPr>
              <w:pStyle w:val="42"/>
              <w:keepNext w:val="0"/>
              <w:keepLines w:val="0"/>
              <w:pageBreakBefore w:val="0"/>
              <w:kinsoku/>
              <w:wordWrap/>
              <w:overflowPunct/>
              <w:topLinePunct w:val="0"/>
              <w:bidi w:val="0"/>
              <w:snapToGrid w:val="0"/>
              <w:spacing w:line="240" w:lineRule="auto"/>
              <w:jc w:val="center"/>
              <w:rPr>
                <w:rFonts w:hint="eastAsia" w:ascii="宋体" w:hAnsi="宋体" w:eastAsia="宋体" w:cs="宋体"/>
                <w:b/>
                <w:bCs/>
                <w:i w:val="0"/>
                <w:iCs w:val="0"/>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b/>
                <w:bCs/>
                <w:i w:val="0"/>
                <w:iCs w:val="0"/>
                <w:color w:val="000000" w:themeColor="text1"/>
                <w:sz w:val="21"/>
                <w:szCs w:val="21"/>
                <w:highlight w:val="none"/>
                <w:lang w:eastAsia="zh-CN"/>
                <w14:textFill>
                  <w14:solidFill>
                    <w14:schemeClr w14:val="tx1"/>
                  </w14:solidFill>
                </w14:textFill>
              </w:rPr>
              <w:t>特别提醒</w:t>
            </w:r>
          </w:p>
        </w:tc>
        <w:tc>
          <w:tcPr>
            <w:tcW w:w="6518" w:type="dxa"/>
            <w:noWrap w:val="0"/>
            <w:vAlign w:val="center"/>
          </w:tcPr>
          <w:p w14:paraId="29F74B7A">
            <w:pPr>
              <w:keepNext w:val="0"/>
              <w:keepLines w:val="0"/>
              <w:pageBreakBefore w:val="0"/>
              <w:widowControl/>
              <w:numPr>
                <w:ilvl w:val="0"/>
                <w:numId w:val="0"/>
              </w:numPr>
              <w:tabs>
                <w:tab w:val="left" w:pos="9360"/>
              </w:tabs>
              <w:kinsoku/>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（1）开评标现场异议的注意事项：投标人在开评标过程中的异议，需以书面形式提交（口头异议无效）。</w:t>
            </w:r>
          </w:p>
          <w:p w14:paraId="654C4C55">
            <w:pPr>
              <w:keepNext w:val="0"/>
              <w:keepLines w:val="0"/>
              <w:pageBreakBefore w:val="0"/>
              <w:widowControl/>
              <w:numPr>
                <w:ilvl w:val="0"/>
                <w:numId w:val="0"/>
              </w:numPr>
              <w:tabs>
                <w:tab w:val="left" w:pos="9360"/>
              </w:tabs>
              <w:kinsoku/>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评标中发现有法律法规定的串通投标行为，且经询标（技术标采用暗标评审的由评标委员会直接认定）澄清投标人无令人信服的理由和可靠证据证明其合理性的，经评标委员会半数以上成员确认，其投标文件按否决投标处理，不再对其进行评审，也不影响招标工程继续评标。评标结束后，评标专家应将有串通投标嫌疑的投标文件以及相关评标分析材料及时移交招投标监管部门作进一步的调查处理，即使最终无法认定串通投标行为成立，也不影响对其按否决投标处理的结果。</w:t>
            </w:r>
          </w:p>
          <w:p w14:paraId="43F3870F">
            <w:pPr>
              <w:keepNext w:val="0"/>
              <w:keepLines w:val="0"/>
              <w:pageBreakBefore w:val="0"/>
              <w:widowControl/>
              <w:numPr>
                <w:ilvl w:val="0"/>
                <w:numId w:val="0"/>
              </w:numPr>
              <w:tabs>
                <w:tab w:val="left" w:pos="9360"/>
              </w:tabs>
              <w:kinsoku/>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施工负责人在“全国建筑市场监管公共服务平台”或“浙江省建筑市场监管公共服务系统”有在建工程的施工业务登记的，如已通过竣工验收，须提供建设、勘察、设计、施工和监理单位五方或设计、建设、施工和监理单位四方责任主体签章的竣工验收证明材料（下同），在投标截止时间前提交；如在开标现场查询时发现“全国建筑市场监管公共服务平台”或“浙江省建筑市场监管公共服务系统”上有在建工程的施工业务登记且投标人未在投标截止时间前提交的，则该投标人的投标文件作否决投标处理；除上述两个平台外，在其他省级建筑市场监管公共服务平台上，施工负责人有在建工程施工业务的，如已通过竣工验收的，在投标截止时间前提交竣工验收证明材料，否则否决其投标或取消其中标资格。</w:t>
            </w:r>
          </w:p>
          <w:p w14:paraId="6C56CA46">
            <w:pPr>
              <w:keepNext w:val="0"/>
              <w:keepLines w:val="0"/>
              <w:pageBreakBefore w:val="0"/>
              <w:widowControl/>
              <w:numPr>
                <w:ilvl w:val="0"/>
                <w:numId w:val="0"/>
              </w:numPr>
              <w:tabs>
                <w:tab w:val="left" w:pos="9360"/>
              </w:tabs>
              <w:kinsoku/>
              <w:wordWrap/>
              <w:overflowPunct/>
              <w:topLinePunct w:val="0"/>
              <w:autoSpaceDE w:val="0"/>
              <w:autoSpaceDN w:val="0"/>
              <w:bidi w:val="0"/>
              <w:adjustRightInd w:val="0"/>
              <w:snapToGrid w:val="0"/>
              <w:spacing w:line="240" w:lineRule="auto"/>
              <w:ind w:left="0" w:leftChars="0" w:firstLine="0" w:firstLineChars="0"/>
              <w:jc w:val="both"/>
              <w:textAlignment w:val="baseline"/>
              <w:rPr>
                <w:rFonts w:hint="eastAsia" w:ascii="宋体" w:hAnsi="宋体" w:eastAsia="宋体" w:cs="宋体"/>
                <w:i w:val="0"/>
                <w:iCs w:val="0"/>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（4）施工负责人有已变更的“在建合同工程”的，须在投标文件中提交本“投标人须知前附表”10.4第2条的证明材料，否则否决其投标或取消其中标资格。</w:t>
            </w:r>
          </w:p>
        </w:tc>
      </w:tr>
      <w:tr w14:paraId="1A77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4D4195AE">
            <w:pPr>
              <w:keepNext w:val="0"/>
              <w:keepLines w:val="0"/>
              <w:pageBreakBefore w:val="0"/>
              <w:widowControl w:val="0"/>
              <w:kinsoku/>
              <w:wordWrap/>
              <w:overflowPunct/>
              <w:topLinePunct w:val="0"/>
              <w:autoSpaceDE/>
              <w:autoSpaceDN/>
              <w:bidi w:val="0"/>
              <w:snapToGrid w:val="0"/>
              <w:spacing w:after="0" w:line="240" w:lineRule="auto"/>
              <w:ind w:firstLine="0" w:firstLineChars="0"/>
              <w:jc w:val="center"/>
              <w:textAlignment w:val="auto"/>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pPr>
          </w:p>
          <w:p w14:paraId="135356CF">
            <w:pPr>
              <w:keepNext w:val="0"/>
              <w:keepLines w:val="0"/>
              <w:pageBreakBefore w:val="0"/>
              <w:widowControl w:val="0"/>
              <w:kinsoku/>
              <w:wordWrap/>
              <w:overflowPunct/>
              <w:topLinePunct w:val="0"/>
              <w:autoSpaceDE/>
              <w:autoSpaceDN/>
              <w:bidi w:val="0"/>
              <w:snapToGrid w:val="0"/>
              <w:spacing w:after="0" w:line="240" w:lineRule="auto"/>
              <w:ind w:firstLine="0" w:firstLineChars="0"/>
              <w:jc w:val="center"/>
              <w:textAlignment w:val="auto"/>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pPr>
          </w:p>
          <w:p w14:paraId="47EB5314">
            <w:pPr>
              <w:keepNext w:val="0"/>
              <w:keepLines w:val="0"/>
              <w:pageBreakBefore w:val="0"/>
              <w:widowControl w:val="0"/>
              <w:kinsoku/>
              <w:wordWrap/>
              <w:overflowPunct/>
              <w:topLinePunct w:val="0"/>
              <w:autoSpaceDE/>
              <w:autoSpaceDN/>
              <w:bidi w:val="0"/>
              <w:snapToGrid w:val="0"/>
              <w:spacing w:after="0" w:line="240" w:lineRule="auto"/>
              <w:ind w:firstLine="0" w:firstLineChars="0"/>
              <w:jc w:val="center"/>
              <w:textAlignment w:val="auto"/>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监督</w:t>
            </w:r>
          </w:p>
          <w:p w14:paraId="72A02924">
            <w:pPr>
              <w:pStyle w:val="20"/>
              <w:keepNext w:val="0"/>
              <w:keepLines w:val="0"/>
              <w:pageBreakBefore w:val="0"/>
              <w:numPr>
                <w:ilvl w:val="0"/>
                <w:numId w:val="0"/>
              </w:numPr>
              <w:kinsoku/>
              <w:wordWrap/>
              <w:overflowPunct/>
              <w:topLinePunct w:val="0"/>
              <w:autoSpaceDE/>
              <w:autoSpaceDN/>
              <w:bidi w:val="0"/>
              <w:snapToGrid w:val="0"/>
              <w:spacing w:line="240" w:lineRule="auto"/>
              <w:ind w:left="0" w:leftChars="0" w:firstLine="0" w:firstLineChars="0"/>
              <w:jc w:val="center"/>
              <w:textAlignment w:val="auto"/>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p>
        </w:tc>
        <w:tc>
          <w:tcPr>
            <w:tcW w:w="8784" w:type="dxa"/>
            <w:gridSpan w:val="2"/>
            <w:noWrap w:val="0"/>
            <w:vAlign w:val="center"/>
          </w:tcPr>
          <w:p w14:paraId="6958C4B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b/>
                <w:bCs/>
                <w:color w:val="000000" w:themeColor="text1"/>
                <w:sz w:val="21"/>
                <w:szCs w:val="21"/>
                <w:highlight w:val="none"/>
                <w:lang w:val="en-US" w:eastAsia="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本项目的招标投标活动过程及其相关当事人应当接受有管辖权的建设工程招标投标行政监督部门依法实施的监督。</w:t>
            </w:r>
          </w:p>
          <w:p w14:paraId="7623AF82">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b/>
                <w:bCs/>
                <w:color w:val="000000" w:themeColor="text1"/>
                <w:sz w:val="21"/>
                <w:szCs w:val="21"/>
                <w:highlight w:val="none"/>
                <w:lang w:val="en-US" w:eastAsia="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监督部门</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开化县公共资源交易监督管理办公室</w:t>
            </w:r>
          </w:p>
          <w:p w14:paraId="244B5449">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b/>
                <w:bCs/>
                <w:color w:val="000000" w:themeColor="text1"/>
                <w:sz w:val="21"/>
                <w:szCs w:val="21"/>
                <w:highlight w:val="none"/>
                <w:lang w:val="en-US" w:eastAsia="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电    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0570-6016538(业务科，罗先生);</w:t>
            </w:r>
          </w:p>
          <w:p w14:paraId="43A41B07">
            <w:pPr>
              <w:pStyle w:val="43"/>
              <w:keepNext w:val="0"/>
              <w:keepLines w:val="0"/>
              <w:pageBreakBefore w:val="0"/>
              <w:widowControl/>
              <w:kinsoku/>
              <w:wordWrap/>
              <w:overflowPunct/>
              <w:topLinePunct w:val="0"/>
              <w:autoSpaceDE/>
              <w:autoSpaceDN/>
              <w:bidi w:val="0"/>
              <w:adjustRightInd w:val="0"/>
              <w:snapToGrid w:val="0"/>
              <w:spacing w:line="240" w:lineRule="auto"/>
              <w:ind w:left="63" w:firstLine="1054" w:firstLineChars="500"/>
              <w:jc w:val="both"/>
              <w:textAlignment w:val="auto"/>
              <w:outlineLvl w:val="9"/>
              <w:rPr>
                <w:rFonts w:hint="eastAsia" w:ascii="宋体" w:hAnsi="宋体" w:eastAsia="宋体" w:cs="宋体"/>
                <w:b/>
                <w:bCs/>
                <w:color w:val="000000" w:themeColor="text1"/>
                <w:sz w:val="21"/>
                <w:szCs w:val="21"/>
                <w:highlight w:val="none"/>
                <w:lang w:val="en-US" w:eastAsia="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0570-6010225</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(督查科</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余女士)</w:t>
            </w:r>
          </w:p>
          <w:p w14:paraId="75CD7CD5">
            <w:pPr>
              <w:pStyle w:val="43"/>
              <w:keepNext w:val="0"/>
              <w:keepLines w:val="0"/>
              <w:pageBreakBefore w:val="0"/>
              <w:widowControl/>
              <w:kinsoku/>
              <w:wordWrap/>
              <w:overflowPunct/>
              <w:topLinePunct w:val="0"/>
              <w:autoSpaceDE/>
              <w:autoSpaceDN/>
              <w:bidi w:val="0"/>
              <w:adjustRightInd w:val="0"/>
              <w:snapToGrid w:val="0"/>
              <w:spacing w:line="240" w:lineRule="auto"/>
              <w:ind w:left="63"/>
              <w:jc w:val="both"/>
              <w:textAlignment w:val="auto"/>
              <w:outlineLvl w:val="9"/>
              <w:rPr>
                <w:rFonts w:hint="eastAsia" w:ascii="宋体" w:hAnsi="宋体" w:eastAsia="宋体" w:cs="宋体"/>
                <w:b/>
                <w:bCs/>
                <w:color w:val="000000" w:themeColor="text1"/>
                <w:sz w:val="21"/>
                <w:szCs w:val="21"/>
                <w:highlight w:val="none"/>
                <w:lang w:val="en-US" w:eastAsia="en-US"/>
                <w14:textFill>
                  <w14:solidFill>
                    <w14:schemeClr w14:val="tx1"/>
                  </w14:solidFill>
                </w14:textFill>
              </w:rPr>
            </w:pP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地    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 xml:space="preserve">开化县凤凰南路2号                   </w:t>
            </w:r>
          </w:p>
          <w:p w14:paraId="41CBDD6F">
            <w:pPr>
              <w:pStyle w:val="43"/>
              <w:keepNext w:val="0"/>
              <w:keepLines w:val="0"/>
              <w:pageBreakBefore w:val="0"/>
              <w:widowControl/>
              <w:kinsoku/>
              <w:wordWrap/>
              <w:overflowPunct/>
              <w:topLinePunct w:val="0"/>
              <w:autoSpaceDE/>
              <w:autoSpaceDN/>
              <w:bidi w:val="0"/>
              <w:adjustRightInd w:val="0"/>
              <w:snapToGrid w:val="0"/>
              <w:spacing w:line="240" w:lineRule="auto"/>
              <w:ind w:left="63" w:leftChars="0"/>
              <w:jc w:val="both"/>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邮政编码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en-US"/>
                <w14:textFill>
                  <w14:solidFill>
                    <w14:schemeClr w14:val="tx1"/>
                  </w14:solidFill>
                </w14:textFill>
              </w:rPr>
              <w:t xml:space="preserve">324300 </w:t>
            </w:r>
          </w:p>
        </w:tc>
      </w:tr>
      <w:tr w14:paraId="314B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7" w:hRule="atLeast"/>
          <w:jc w:val="center"/>
        </w:trPr>
        <w:tc>
          <w:tcPr>
            <w:tcW w:w="1031" w:type="dxa"/>
            <w:noWrap w:val="0"/>
            <w:vAlign w:val="center"/>
          </w:tcPr>
          <w:p w14:paraId="26E6842D">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bCs/>
                <w:i w:val="0"/>
                <w:i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i w:val="0"/>
                <w:iCs w:val="0"/>
                <w:color w:val="000000" w:themeColor="text1"/>
                <w:kern w:val="2"/>
                <w:sz w:val="21"/>
                <w:szCs w:val="21"/>
                <w:highlight w:val="none"/>
                <w:lang w:val="en-US" w:eastAsia="zh-CN" w:bidi="ar-SA"/>
                <w14:textFill>
                  <w14:solidFill>
                    <w14:schemeClr w14:val="tx1"/>
                  </w14:solidFill>
                </w14:textFill>
              </w:rPr>
              <w:t>询标</w:t>
            </w:r>
          </w:p>
          <w:p w14:paraId="76F4C5F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i w:val="0"/>
                <w:iCs w:val="0"/>
                <w:color w:val="000000" w:themeColor="text1"/>
                <w:spacing w:val="0"/>
                <w:kern w:val="2"/>
                <w:sz w:val="21"/>
                <w:szCs w:val="21"/>
                <w:highlight w:val="none"/>
                <w:lang w:val="en-US" w:eastAsia="zh-CN" w:bidi="ar-SA"/>
                <w14:textFill>
                  <w14:solidFill>
                    <w14:schemeClr w14:val="tx1"/>
                  </w14:solidFill>
                </w14:textFill>
              </w:rPr>
            </w:pPr>
          </w:p>
        </w:tc>
        <w:tc>
          <w:tcPr>
            <w:tcW w:w="8784" w:type="dxa"/>
            <w:gridSpan w:val="2"/>
            <w:noWrap w:val="0"/>
            <w:vAlign w:val="center"/>
          </w:tcPr>
          <w:p w14:paraId="7D60DC23">
            <w:pPr>
              <w:keepNext w:val="0"/>
              <w:keepLines w:val="0"/>
              <w:pageBreakBefore w:val="0"/>
              <w:widowControl/>
              <w:kinsoku/>
              <w:wordWrap/>
              <w:overflowPunct/>
              <w:topLinePunct w:val="0"/>
              <w:autoSpaceDE w:val="0"/>
              <w:autoSpaceDN w:val="0"/>
              <w:bidi w:val="0"/>
              <w:adjustRightInd w:val="0"/>
              <w:snapToGrid w:val="0"/>
              <w:spacing w:after="0" w:line="240" w:lineRule="auto"/>
              <w:ind w:left="0" w:leftChars="0"/>
              <w:jc w:val="both"/>
              <w:textAlignment w:val="baseline"/>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评标时评标委员会认为需要投标人作出必要澄清、说明的，将以系统或者其他方式进行询标。投标人的答复函需经法定代表人或委托代理人签字或盖章后通过系统或者其他方式上传。每次询标答复时间不得超过30分钟，以询标实际发出时间为准，逾时做自动放弃处理。</w:t>
            </w:r>
          </w:p>
          <w:p w14:paraId="78757FE1">
            <w:pPr>
              <w:keepNext w:val="0"/>
              <w:keepLines w:val="0"/>
              <w:pageBreakBefore w:val="0"/>
              <w:widowControl/>
              <w:kinsoku/>
              <w:wordWrap/>
              <w:overflowPunct/>
              <w:topLinePunct w:val="0"/>
              <w:autoSpaceDE w:val="0"/>
              <w:autoSpaceDN w:val="0"/>
              <w:bidi w:val="0"/>
              <w:adjustRightInd w:val="0"/>
              <w:snapToGrid w:val="0"/>
              <w:spacing w:after="0" w:line="240" w:lineRule="auto"/>
              <w:ind w:left="0" w:leftChars="0"/>
              <w:textAlignment w:val="baseline"/>
              <w:rPr>
                <w:rFonts w:hint="eastAsia" w:ascii="宋体" w:hAnsi="宋体" w:eastAsia="宋体" w:cs="宋体"/>
                <w:color w:val="000000" w:themeColor="text1"/>
                <w:kern w:val="2"/>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2、为方便联系，投标人需在投标时提供一个固定的、安全性高的电子邮箱地址。</w:t>
            </w:r>
          </w:p>
        </w:tc>
      </w:tr>
      <w:tr w14:paraId="1F3BF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0" w:hRule="atLeast"/>
          <w:jc w:val="center"/>
        </w:trPr>
        <w:tc>
          <w:tcPr>
            <w:tcW w:w="1031" w:type="dxa"/>
            <w:noWrap w:val="0"/>
            <w:vAlign w:val="center"/>
          </w:tcPr>
          <w:p w14:paraId="7E91DCA7">
            <w:pPr>
              <w:keepNext w:val="0"/>
              <w:keepLines w:val="0"/>
              <w:pageBreakBefore w:val="0"/>
              <w:kinsoku/>
              <w:wordWrap/>
              <w:overflowPunct/>
              <w:topLinePunct w:val="0"/>
              <w:bidi w:val="0"/>
              <w:adjustRightInd/>
              <w:snapToGrid/>
              <w:spacing w:line="240" w:lineRule="auto"/>
              <w:jc w:val="center"/>
              <w:rPr>
                <w:rFonts w:hint="eastAsia" w:ascii="宋体" w:hAnsi="宋体" w:eastAsia="宋体" w:cs="宋体"/>
                <w:b/>
                <w:bCs/>
                <w:i w:val="0"/>
                <w:iCs w:val="0"/>
                <w:color w:val="auto"/>
                <w:kern w:val="2"/>
                <w:sz w:val="21"/>
                <w:szCs w:val="21"/>
                <w:highlight w:val="none"/>
                <w:lang w:val="en-US" w:eastAsia="zh-CN" w:bidi="ar-SA"/>
              </w:rPr>
            </w:pPr>
            <w:r>
              <w:rPr>
                <w:rFonts w:hint="eastAsia" w:ascii="宋体" w:hAnsi="宋体" w:eastAsia="宋体" w:cs="宋体"/>
                <w:b/>
                <w:bCs/>
                <w:i w:val="0"/>
                <w:iCs w:val="0"/>
                <w:color w:val="auto"/>
                <w:kern w:val="2"/>
                <w:sz w:val="21"/>
                <w:szCs w:val="21"/>
                <w:highlight w:val="none"/>
                <w:lang w:val="en-US" w:eastAsia="zh-CN" w:bidi="ar-SA"/>
              </w:rPr>
              <w:t>其他说明</w:t>
            </w:r>
          </w:p>
        </w:tc>
        <w:tc>
          <w:tcPr>
            <w:tcW w:w="8784" w:type="dxa"/>
            <w:gridSpan w:val="2"/>
            <w:noWrap w:val="0"/>
            <w:vAlign w:val="center"/>
          </w:tcPr>
          <w:p w14:paraId="500615E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bCs/>
                <w:i w:val="0"/>
                <w:iCs w:val="0"/>
                <w:sz w:val="21"/>
                <w:szCs w:val="21"/>
                <w:highlight w:val="none"/>
              </w:rPr>
            </w:pPr>
            <w:r>
              <w:rPr>
                <w:rFonts w:hint="eastAsia" w:ascii="宋体" w:hAnsi="宋体" w:eastAsia="宋体" w:cs="宋体"/>
                <w:b/>
                <w:bCs/>
                <w:i w:val="0"/>
                <w:iCs w:val="0"/>
                <w:kern w:val="2"/>
                <w:sz w:val="21"/>
                <w:szCs w:val="21"/>
                <w:highlight w:val="none"/>
                <w:lang w:val="en-US" w:eastAsia="zh-CN" w:bidi="ar-SA"/>
              </w:rPr>
              <w:t>1、</w:t>
            </w:r>
            <w:r>
              <w:rPr>
                <w:rFonts w:hint="eastAsia" w:ascii="宋体" w:hAnsi="宋体" w:eastAsia="宋体" w:cs="宋体"/>
                <w:b/>
                <w:bCs/>
                <w:i w:val="0"/>
                <w:iCs w:val="0"/>
                <w:sz w:val="21"/>
                <w:szCs w:val="21"/>
                <w:highlight w:val="none"/>
              </w:rPr>
              <w:t>工程建设项目交易服务费由招标单位和中标单位共同承担，由开化县公共资源交易中心按照《衢州市发改委关于降低和规范衢州市公共资源交易服务收费的通知》（衢发改价﹝2018）14号）收费标准收取。</w:t>
            </w:r>
          </w:p>
          <w:p w14:paraId="6399F6B6">
            <w:pPr>
              <w:pStyle w:val="20"/>
              <w:keepNext w:val="0"/>
              <w:keepLines w:val="0"/>
              <w:pageBreakBefore w:val="0"/>
              <w:numPr>
                <w:ilvl w:val="0"/>
                <w:numId w:val="0"/>
              </w:numPr>
              <w:kinsoku/>
              <w:wordWrap/>
              <w:overflowPunct/>
              <w:topLinePunct w:val="0"/>
              <w:bidi w:val="0"/>
              <w:adjustRightInd/>
              <w:snapToGrid/>
              <w:spacing w:after="0" w:line="240" w:lineRule="auto"/>
              <w:rPr>
                <w:rFonts w:hint="eastAsia"/>
                <w:b/>
                <w:bCs/>
                <w:highlight w:val="none"/>
              </w:rPr>
            </w:pPr>
            <w:r>
              <w:rPr>
                <w:rFonts w:hint="eastAsia" w:ascii="宋体" w:hAnsi="宋体" w:eastAsia="宋体" w:cs="宋体"/>
                <w:b/>
                <w:bCs/>
                <w:i w:val="0"/>
                <w:iCs w:val="0"/>
                <w:kern w:val="2"/>
                <w:sz w:val="21"/>
                <w:szCs w:val="21"/>
                <w:highlight w:val="none"/>
                <w:lang w:val="en-US" w:eastAsia="zh-CN" w:bidi="ar-SA"/>
              </w:rPr>
              <w:t>2、投标人解密时间：主持人宣布开始解密后30分钟以内。</w:t>
            </w:r>
          </w:p>
        </w:tc>
      </w:tr>
    </w:tbl>
    <w:p w14:paraId="17212C18">
      <w:pPr>
        <w:spacing w:line="360" w:lineRule="exact"/>
        <w:jc w:val="center"/>
        <w:rPr>
          <w:rFonts w:ascii="宋体" w:hAnsi="宋体"/>
          <w:b/>
          <w:sz w:val="32"/>
          <w:szCs w:val="32"/>
          <w:highlight w:val="none"/>
        </w:rPr>
      </w:pPr>
      <w:r>
        <w:rPr>
          <w:rFonts w:ascii="宋体" w:hAnsi="宋体"/>
          <w:b/>
          <w:sz w:val="28"/>
          <w:szCs w:val="28"/>
          <w:highlight w:val="none"/>
        </w:rPr>
        <w:br w:type="page"/>
      </w:r>
      <w:r>
        <w:rPr>
          <w:rFonts w:hint="eastAsia" w:ascii="宋体" w:hAnsi="宋体"/>
          <w:b/>
          <w:sz w:val="32"/>
          <w:szCs w:val="32"/>
          <w:highlight w:val="none"/>
        </w:rPr>
        <w:t>投标人须知</w:t>
      </w:r>
    </w:p>
    <w:p w14:paraId="528A8DB7">
      <w:pPr>
        <w:spacing w:line="80" w:lineRule="exact"/>
        <w:rPr>
          <w:rFonts w:ascii="宋体" w:hAnsi="宋体"/>
          <w:b/>
          <w:sz w:val="28"/>
          <w:szCs w:val="28"/>
          <w:highlight w:val="none"/>
        </w:rPr>
      </w:pPr>
      <w:bookmarkStart w:id="16" w:name="_Toc179632546"/>
      <w:bookmarkStart w:id="17" w:name="_Toc152042305"/>
      <w:bookmarkStart w:id="18" w:name="_Toc144974497"/>
      <w:bookmarkStart w:id="19" w:name="_Toc152045529"/>
    </w:p>
    <w:bookmarkEnd w:id="16"/>
    <w:bookmarkEnd w:id="17"/>
    <w:bookmarkEnd w:id="18"/>
    <w:bookmarkEnd w:id="19"/>
    <w:p w14:paraId="0EDAC792">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ascii="Times New Roman" w:hAnsi="Times New Roman"/>
          <w:b/>
          <w:color w:val="auto"/>
          <w:sz w:val="21"/>
          <w:szCs w:val="21"/>
          <w:highlight w:val="none"/>
        </w:rPr>
      </w:pPr>
      <w:bookmarkStart w:id="20" w:name="_Toc18780"/>
      <w:bookmarkStart w:id="21" w:name="_Toc45697232"/>
      <w:r>
        <w:rPr>
          <w:rFonts w:ascii="Times New Roman" w:hAnsi="Times New Roman"/>
          <w:b/>
          <w:color w:val="auto"/>
          <w:sz w:val="21"/>
          <w:szCs w:val="21"/>
          <w:highlight w:val="none"/>
        </w:rPr>
        <w:t>1.</w:t>
      </w:r>
      <w:r>
        <w:rPr>
          <w:rFonts w:ascii="Times New Roman" w:hAnsi="宋体"/>
          <w:b/>
          <w:color w:val="auto"/>
          <w:sz w:val="21"/>
          <w:szCs w:val="21"/>
          <w:highlight w:val="none"/>
        </w:rPr>
        <w:t>总则</w:t>
      </w:r>
      <w:bookmarkEnd w:id="20"/>
      <w:bookmarkEnd w:id="21"/>
    </w:p>
    <w:p w14:paraId="6D53901E">
      <w:pPr>
        <w:keepNext w:val="0"/>
        <w:keepLines w:val="0"/>
        <w:pageBreakBefore w:val="0"/>
        <w:widowControl w:val="0"/>
        <w:kinsoku/>
        <w:overflowPunct/>
        <w:topLinePunct w:val="0"/>
        <w:autoSpaceDE/>
        <w:autoSpaceDN/>
        <w:bidi w:val="0"/>
        <w:adjustRightInd/>
        <w:snapToGrid/>
        <w:spacing w:line="400" w:lineRule="exact"/>
        <w:ind w:leftChars="0" w:firstLine="369" w:firstLineChars="175"/>
        <w:jc w:val="both"/>
        <w:textAlignment w:val="auto"/>
        <w:rPr>
          <w:rFonts w:ascii="Times New Roman" w:hAnsi="Times New Roman"/>
          <w:b/>
          <w:color w:val="auto"/>
          <w:sz w:val="21"/>
          <w:szCs w:val="21"/>
          <w:highlight w:val="none"/>
        </w:rPr>
      </w:pPr>
      <w:bookmarkStart w:id="22" w:name="bookmark23"/>
      <w:bookmarkEnd w:id="22"/>
      <w:r>
        <w:rPr>
          <w:rFonts w:ascii="Times New Roman" w:hAnsi="Times New Roman"/>
          <w:b/>
          <w:color w:val="auto"/>
          <w:sz w:val="21"/>
          <w:szCs w:val="21"/>
          <w:highlight w:val="none"/>
        </w:rPr>
        <w:t>1.1</w:t>
      </w:r>
      <w:r>
        <w:rPr>
          <w:rFonts w:ascii="Times New Roman" w:hAnsi="宋体"/>
          <w:b/>
          <w:color w:val="auto"/>
          <w:sz w:val="21"/>
          <w:szCs w:val="21"/>
          <w:highlight w:val="none"/>
        </w:rPr>
        <w:t>招标项目概况</w:t>
      </w:r>
    </w:p>
    <w:p w14:paraId="5FFD7863">
      <w:pPr>
        <w:pStyle w:val="10"/>
        <w:keepNext w:val="0"/>
        <w:keepLines w:val="0"/>
        <w:pageBreakBefore w:val="0"/>
        <w:widowControl w:val="0"/>
        <w:numPr>
          <w:ilvl w:val="2"/>
          <w:numId w:val="12"/>
        </w:numPr>
        <w:kinsoku/>
        <w:wordWrap/>
        <w:overflowPunct/>
        <w:topLinePunct w:val="0"/>
        <w:autoSpaceDE/>
        <w:autoSpaceDN/>
        <w:bidi w:val="0"/>
        <w:adjustRightInd/>
        <w:snapToGrid/>
        <w:spacing w:after="0" w:afterLines="0" w:line="400" w:lineRule="exact"/>
        <w:ind w:left="0" w:leftChars="0" w:firstLine="388" w:firstLineChars="200"/>
        <w:jc w:val="both"/>
        <w:textAlignment w:val="auto"/>
        <w:rPr>
          <w:rFonts w:hAnsi="Times New Roman"/>
          <w:color w:val="auto"/>
          <w:sz w:val="21"/>
          <w:szCs w:val="21"/>
          <w:highlight w:val="none"/>
        </w:rPr>
      </w:pPr>
      <w:r>
        <w:rPr>
          <w:rFonts w:hint="default" w:hAnsi="Times New Roman"/>
          <w:color w:val="auto"/>
          <w:spacing w:val="-8"/>
          <w:sz w:val="21"/>
          <w:szCs w:val="21"/>
          <w:highlight w:val="none"/>
        </w:rPr>
        <w:t>根据《中华人民共和国招标投标法》等有关</w:t>
      </w:r>
      <w:r>
        <w:rPr>
          <w:rFonts w:hint="default" w:hAnsi="Times New Roman"/>
          <w:color w:val="auto"/>
          <w:sz w:val="21"/>
          <w:szCs w:val="21"/>
          <w:highlight w:val="none"/>
        </w:rPr>
        <w:t>法律、法规和规章的规定，本招标项目已具备招标条件，</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现对该项目设计、采购、施工进行工程总承包招标。</w:t>
      </w:r>
    </w:p>
    <w:p w14:paraId="0EDE4FA1">
      <w:pPr>
        <w:pStyle w:val="10"/>
        <w:keepNext w:val="0"/>
        <w:keepLines w:val="0"/>
        <w:pageBreakBefore w:val="0"/>
        <w:widowControl w:val="0"/>
        <w:numPr>
          <w:ilvl w:val="2"/>
          <w:numId w:val="12"/>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招标人：见投标人须知前附表。</w:t>
      </w:r>
    </w:p>
    <w:p w14:paraId="32CF4383">
      <w:pPr>
        <w:pStyle w:val="10"/>
        <w:keepNext w:val="0"/>
        <w:keepLines w:val="0"/>
        <w:pageBreakBefore w:val="0"/>
        <w:widowControl w:val="0"/>
        <w:numPr>
          <w:ilvl w:val="2"/>
          <w:numId w:val="12"/>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招标代理机构：见投标人须知前附表。</w:t>
      </w:r>
    </w:p>
    <w:p w14:paraId="24E2EAD4">
      <w:pPr>
        <w:pStyle w:val="10"/>
        <w:keepNext w:val="0"/>
        <w:keepLines w:val="0"/>
        <w:pageBreakBefore w:val="0"/>
        <w:widowControl w:val="0"/>
        <w:numPr>
          <w:ilvl w:val="2"/>
          <w:numId w:val="12"/>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工程名称：见投标人须知前附表。</w:t>
      </w:r>
    </w:p>
    <w:p w14:paraId="208ECC00">
      <w:pPr>
        <w:pStyle w:val="10"/>
        <w:keepNext w:val="0"/>
        <w:keepLines w:val="0"/>
        <w:pageBreakBefore w:val="0"/>
        <w:widowControl w:val="0"/>
        <w:numPr>
          <w:ilvl w:val="2"/>
          <w:numId w:val="12"/>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工程建设地点：见投标人须知前附表。</w:t>
      </w:r>
    </w:p>
    <w:p w14:paraId="1D372972">
      <w:pPr>
        <w:keepNext w:val="0"/>
        <w:keepLines w:val="0"/>
        <w:pageBreakBefore w:val="0"/>
        <w:widowControl w:val="0"/>
        <w:kinsoku/>
        <w:overflowPunct/>
        <w:topLinePunct w:val="0"/>
        <w:autoSpaceDE/>
        <w:autoSpaceDN/>
        <w:bidi w:val="0"/>
        <w:adjustRightInd/>
        <w:snapToGrid/>
        <w:spacing w:line="400" w:lineRule="exact"/>
        <w:ind w:leftChars="0" w:firstLine="369" w:firstLineChars="175"/>
        <w:jc w:val="both"/>
        <w:textAlignment w:val="auto"/>
        <w:rPr>
          <w:rFonts w:ascii="Times New Roman" w:hAnsi="Times New Roman"/>
          <w:b/>
          <w:color w:val="auto"/>
          <w:sz w:val="21"/>
          <w:szCs w:val="21"/>
          <w:highlight w:val="none"/>
        </w:rPr>
      </w:pPr>
      <w:bookmarkStart w:id="23" w:name="bookmark24"/>
      <w:bookmarkEnd w:id="23"/>
      <w:r>
        <w:rPr>
          <w:rFonts w:ascii="Times New Roman" w:hAnsi="Times New Roman"/>
          <w:b/>
          <w:color w:val="auto"/>
          <w:sz w:val="21"/>
          <w:szCs w:val="21"/>
          <w:highlight w:val="none"/>
        </w:rPr>
        <w:t>1.2招标项目的资金来源和落实情况</w:t>
      </w:r>
    </w:p>
    <w:p w14:paraId="6F659D27">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int="eastAsia" w:ascii="Times New Roman" w:hAnsi="Times New Roman" w:eastAsia="宋体" w:cs="Times New Roman"/>
          <w:color w:val="auto"/>
          <w:sz w:val="21"/>
          <w:szCs w:val="21"/>
          <w:highlight w:val="none"/>
        </w:rPr>
      </w:pPr>
      <w:bookmarkStart w:id="24" w:name="bookmark25"/>
      <w:bookmarkEnd w:id="24"/>
      <w:r>
        <w:rPr>
          <w:rFonts w:hint="eastAsia" w:ascii="Times New Roman" w:hAnsi="Times New Roman" w:eastAsia="宋体" w:cs="Times New Roman"/>
          <w:color w:val="auto"/>
          <w:sz w:val="21"/>
          <w:szCs w:val="21"/>
          <w:highlight w:val="none"/>
        </w:rPr>
        <w:t>1.2.1 本招标项目的资金来源及比例：见投标人须知前附表。</w:t>
      </w:r>
    </w:p>
    <w:p w14:paraId="6B920D32">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1.2.2 本招标项目的资金落实情况：见投标人须知前附表。</w:t>
      </w:r>
    </w:p>
    <w:p w14:paraId="5B7605ED">
      <w:pPr>
        <w:keepNext w:val="0"/>
        <w:keepLines w:val="0"/>
        <w:pageBreakBefore w:val="0"/>
        <w:widowControl w:val="0"/>
        <w:kinsoku/>
        <w:overflowPunct/>
        <w:topLinePunct w:val="0"/>
        <w:autoSpaceDE/>
        <w:autoSpaceDN/>
        <w:bidi w:val="0"/>
        <w:adjustRightInd/>
        <w:snapToGrid/>
        <w:spacing w:line="400" w:lineRule="exact"/>
        <w:ind w:leftChars="0" w:firstLine="369" w:firstLineChars="175"/>
        <w:jc w:val="both"/>
        <w:textAlignment w:val="auto"/>
        <w:rPr>
          <w:rFonts w:ascii="Times New Roman" w:hAnsi="Times New Roman"/>
          <w:b/>
          <w:color w:val="auto"/>
          <w:sz w:val="21"/>
          <w:szCs w:val="21"/>
          <w:highlight w:val="none"/>
        </w:rPr>
      </w:pPr>
      <w:r>
        <w:rPr>
          <w:rFonts w:ascii="Times New Roman" w:hAnsi="Times New Roman"/>
          <w:b/>
          <w:color w:val="auto"/>
          <w:sz w:val="21"/>
          <w:szCs w:val="21"/>
          <w:highlight w:val="none"/>
        </w:rPr>
        <w:t>1.3招标范围、计划工期和质量要求</w:t>
      </w:r>
    </w:p>
    <w:p w14:paraId="566C5CBB">
      <w:pPr>
        <w:pStyle w:val="10"/>
        <w:keepNext w:val="0"/>
        <w:keepLines w:val="0"/>
        <w:pageBreakBefore w:val="0"/>
        <w:widowControl w:val="0"/>
        <w:numPr>
          <w:ilvl w:val="2"/>
          <w:numId w:val="13"/>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eastAsia"/>
          <w:color w:val="auto"/>
          <w:sz w:val="21"/>
          <w:szCs w:val="21"/>
          <w:highlight w:val="none"/>
          <w:lang w:eastAsia="zh-CN"/>
        </w:rPr>
        <w:t>本次</w:t>
      </w:r>
      <w:r>
        <w:rPr>
          <w:rFonts w:hint="default" w:hAnsi="Times New Roman"/>
          <w:color w:val="auto"/>
          <w:sz w:val="21"/>
          <w:szCs w:val="21"/>
          <w:highlight w:val="none"/>
        </w:rPr>
        <w:t>招标范围：见投标人须知前附表。</w:t>
      </w:r>
    </w:p>
    <w:p w14:paraId="06D78BE6">
      <w:pPr>
        <w:pStyle w:val="10"/>
        <w:keepNext w:val="0"/>
        <w:keepLines w:val="0"/>
        <w:pageBreakBefore w:val="0"/>
        <w:widowControl w:val="0"/>
        <w:numPr>
          <w:ilvl w:val="2"/>
          <w:numId w:val="13"/>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eastAsia"/>
          <w:color w:val="auto"/>
          <w:sz w:val="21"/>
          <w:szCs w:val="21"/>
          <w:highlight w:val="none"/>
          <w:lang w:eastAsia="zh-CN"/>
        </w:rPr>
        <w:t>本标段的</w:t>
      </w:r>
      <w:r>
        <w:rPr>
          <w:rFonts w:hint="default" w:hAnsi="Times New Roman"/>
          <w:color w:val="auto"/>
          <w:sz w:val="21"/>
          <w:szCs w:val="21"/>
          <w:highlight w:val="none"/>
        </w:rPr>
        <w:t>计划工期：见投标人须知前附表。</w:t>
      </w:r>
    </w:p>
    <w:p w14:paraId="473C76A8">
      <w:pPr>
        <w:pStyle w:val="10"/>
        <w:keepNext w:val="0"/>
        <w:keepLines w:val="0"/>
        <w:pageBreakBefore w:val="0"/>
        <w:widowControl w:val="0"/>
        <w:numPr>
          <w:ilvl w:val="2"/>
          <w:numId w:val="13"/>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质量要求：见投标人须知前附表。</w:t>
      </w:r>
    </w:p>
    <w:p w14:paraId="075A1BD6">
      <w:pPr>
        <w:keepNext w:val="0"/>
        <w:keepLines w:val="0"/>
        <w:pageBreakBefore w:val="0"/>
        <w:widowControl w:val="0"/>
        <w:kinsoku/>
        <w:overflowPunct/>
        <w:topLinePunct w:val="0"/>
        <w:autoSpaceDE/>
        <w:autoSpaceDN/>
        <w:bidi w:val="0"/>
        <w:adjustRightInd/>
        <w:snapToGrid/>
        <w:spacing w:line="400" w:lineRule="exact"/>
        <w:ind w:leftChars="0" w:firstLine="369" w:firstLineChars="175"/>
        <w:jc w:val="both"/>
        <w:textAlignment w:val="auto"/>
        <w:rPr>
          <w:rFonts w:ascii="Times New Roman" w:hAnsi="Times New Roman"/>
          <w:b/>
          <w:color w:val="auto"/>
          <w:sz w:val="21"/>
          <w:szCs w:val="21"/>
          <w:highlight w:val="none"/>
        </w:rPr>
      </w:pPr>
      <w:bookmarkStart w:id="25" w:name="bookmark26"/>
      <w:bookmarkEnd w:id="25"/>
      <w:r>
        <w:rPr>
          <w:rFonts w:ascii="Times New Roman" w:hAnsi="Times New Roman"/>
          <w:b/>
          <w:color w:val="auto"/>
          <w:sz w:val="21"/>
          <w:szCs w:val="21"/>
          <w:highlight w:val="none"/>
        </w:rPr>
        <w:t>1.4投标人资格要求</w:t>
      </w:r>
    </w:p>
    <w:p w14:paraId="17218847">
      <w:pPr>
        <w:pStyle w:val="10"/>
        <w:keepNext w:val="0"/>
        <w:keepLines w:val="0"/>
        <w:pageBreakBefore w:val="0"/>
        <w:widowControl w:val="0"/>
        <w:numPr>
          <w:ilvl w:val="2"/>
          <w:numId w:val="14"/>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投标人应具备承担本招标项目资质条件、能力和信誉：</w:t>
      </w:r>
    </w:p>
    <w:p w14:paraId="6C76C27C">
      <w:pPr>
        <w:pStyle w:val="10"/>
        <w:keepNext w:val="0"/>
        <w:keepLines w:val="0"/>
        <w:pageBreakBefore w:val="0"/>
        <w:widowControl w:val="0"/>
        <w:numPr>
          <w:ilvl w:val="0"/>
          <w:numId w:val="15"/>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资质要求：见投标人须知前附表；</w:t>
      </w:r>
    </w:p>
    <w:p w14:paraId="202B3891">
      <w:pPr>
        <w:pStyle w:val="10"/>
        <w:keepNext w:val="0"/>
        <w:keepLines w:val="0"/>
        <w:pageBreakBefore w:val="0"/>
        <w:widowControl w:val="0"/>
        <w:numPr>
          <w:ilvl w:val="0"/>
          <w:numId w:val="15"/>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业绩要求：见投标人须知前附表；</w:t>
      </w:r>
    </w:p>
    <w:p w14:paraId="62CF1D78">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int="default" w:hAnsi="Times New Roman"/>
          <w:color w:val="auto"/>
          <w:sz w:val="21"/>
          <w:szCs w:val="21"/>
          <w:highlight w:val="none"/>
        </w:rPr>
      </w:pPr>
      <w:r>
        <w:rPr>
          <w:rFonts w:hint="default" w:hAnsi="Times New Roman"/>
          <w:color w:val="auto"/>
          <w:sz w:val="21"/>
          <w:szCs w:val="21"/>
          <w:highlight w:val="none"/>
        </w:rPr>
        <w:t>（3） 项目负责人的资格要求：具体要求见投标人须知前附表；</w:t>
      </w:r>
    </w:p>
    <w:p w14:paraId="36A3CAEA">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int="default" w:hAnsi="Times New Roman"/>
          <w:color w:val="auto"/>
          <w:sz w:val="21"/>
          <w:szCs w:val="21"/>
          <w:highlight w:val="none"/>
        </w:rPr>
      </w:pPr>
      <w:r>
        <w:rPr>
          <w:rFonts w:hint="default" w:hAnsi="Times New Roman"/>
          <w:color w:val="auto"/>
          <w:sz w:val="21"/>
          <w:szCs w:val="21"/>
          <w:highlight w:val="none"/>
        </w:rPr>
        <w:t>（4） 施工负责人的资格要求：具体要求见投标人须知前附表；</w:t>
      </w:r>
    </w:p>
    <w:p w14:paraId="4134A72C">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int="default" w:hAnsi="Times New Roman"/>
          <w:color w:val="auto"/>
          <w:sz w:val="21"/>
          <w:szCs w:val="21"/>
          <w:highlight w:val="none"/>
        </w:rPr>
      </w:pPr>
      <w:r>
        <w:rPr>
          <w:rFonts w:hint="default" w:hAnsi="Times New Roman"/>
          <w:color w:val="auto"/>
          <w:sz w:val="21"/>
          <w:szCs w:val="21"/>
          <w:highlight w:val="none"/>
        </w:rPr>
        <w:t>（5） 设计负责人的资格要求：具体要求见投标人须知前附表；</w:t>
      </w:r>
    </w:p>
    <w:p w14:paraId="3B7C1763">
      <w:pPr>
        <w:pStyle w:val="10"/>
        <w:keepNext w:val="0"/>
        <w:keepLines w:val="0"/>
        <w:pageBreakBefore w:val="0"/>
        <w:widowControl w:val="0"/>
        <w:numPr>
          <w:ilvl w:val="2"/>
          <w:numId w:val="14"/>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投标人须知前附表规定接受联合体投标的，联合体除应符合本章第</w:t>
      </w:r>
      <w:r>
        <w:rPr>
          <w:rFonts w:hAnsi="Times New Roman"/>
          <w:color w:val="auto"/>
          <w:sz w:val="21"/>
          <w:szCs w:val="21"/>
          <w:highlight w:val="none"/>
        </w:rPr>
        <w:t>1.4.1</w:t>
      </w:r>
      <w:r>
        <w:rPr>
          <w:rFonts w:hint="default" w:hAnsi="Times New Roman"/>
          <w:color w:val="auto"/>
          <w:sz w:val="21"/>
          <w:szCs w:val="21"/>
          <w:highlight w:val="none"/>
        </w:rPr>
        <w:t>项和投标人须知前附表的要求外，还应遵守以下规定：</w:t>
      </w:r>
    </w:p>
    <w:p w14:paraId="3F58A4C3">
      <w:pPr>
        <w:pStyle w:val="10"/>
        <w:keepNext w:val="0"/>
        <w:keepLines w:val="0"/>
        <w:pageBreakBefore w:val="0"/>
        <w:widowControl w:val="0"/>
        <w:numPr>
          <w:ilvl w:val="0"/>
          <w:numId w:val="16"/>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联合体各方应按招标文件提供的格式签订联合体协议书，明确联合体牵头人和各方权利义务</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，并承诺就中标项目向招标人承担连带责任；</w:t>
      </w:r>
    </w:p>
    <w:p w14:paraId="781F83A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Ansi="Times New Roman"/>
          <w:color w:val="auto"/>
          <w:sz w:val="21"/>
          <w:szCs w:val="21"/>
          <w:highlight w:val="none"/>
        </w:rPr>
      </w:pP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联合体各方不得再以自己名义单独或参加其他联合体在本招标项目中投标</w:t>
      </w:r>
      <w:r>
        <w:rPr>
          <w:rFonts w:hint="eastAsia"/>
          <w:color w:val="auto"/>
          <w:sz w:val="21"/>
          <w:szCs w:val="21"/>
          <w:highlight w:val="none"/>
          <w:lang w:eastAsia="zh-CN"/>
        </w:rPr>
        <w:t>；</w:t>
      </w:r>
    </w:p>
    <w:p w14:paraId="21B50651">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Ansi="Times New Roman"/>
          <w:color w:val="auto"/>
          <w:sz w:val="21"/>
          <w:szCs w:val="21"/>
          <w:highlight w:val="none"/>
        </w:rPr>
      </w:pPr>
      <w:r>
        <w:rPr>
          <w:rFonts w:hint="eastAsia" w:hAnsi="宋体" w:cs="Times New Roman"/>
          <w:color w:val="auto"/>
          <w:sz w:val="21"/>
          <w:szCs w:val="21"/>
          <w:highlight w:val="none"/>
          <w:lang w:val="en-US" w:eastAsia="zh-CN"/>
        </w:rPr>
        <w:t>（3）</w:t>
      </w:r>
      <w:r>
        <w:rPr>
          <w:rFonts w:hint="default" w:ascii="Times New Roman" w:hAnsi="宋体" w:cs="Times New Roman"/>
          <w:color w:val="auto"/>
          <w:sz w:val="21"/>
          <w:szCs w:val="21"/>
          <w:highlight w:val="none"/>
        </w:rPr>
        <w:t>联合体投标</w:t>
      </w:r>
      <w:r>
        <w:rPr>
          <w:rFonts w:hint="eastAsia" w:ascii="Times New Roman" w:hAnsi="宋体" w:cs="Times New Roman"/>
          <w:color w:val="auto"/>
          <w:sz w:val="21"/>
          <w:szCs w:val="21"/>
          <w:highlight w:val="none"/>
          <w:lang w:eastAsia="zh-CN"/>
        </w:rPr>
        <w:t>其他要求</w:t>
      </w:r>
      <w:r>
        <w:rPr>
          <w:rFonts w:hint="eastAsia" w:hAnsi="宋体" w:cs="Times New Roman"/>
          <w:color w:val="auto"/>
          <w:sz w:val="21"/>
          <w:szCs w:val="21"/>
          <w:highlight w:val="none"/>
          <w:lang w:eastAsia="zh-CN"/>
        </w:rPr>
        <w:t>见投标人须知</w:t>
      </w:r>
      <w:r>
        <w:rPr>
          <w:rFonts w:hint="default" w:hAnsi="Times New Roman"/>
          <w:color w:val="auto"/>
          <w:sz w:val="21"/>
          <w:szCs w:val="21"/>
          <w:highlight w:val="none"/>
        </w:rPr>
        <w:t>前附表</w:t>
      </w:r>
      <w:r>
        <w:rPr>
          <w:rFonts w:hint="eastAsia"/>
          <w:color w:val="auto"/>
          <w:sz w:val="21"/>
          <w:szCs w:val="21"/>
          <w:highlight w:val="none"/>
          <w:lang w:eastAsia="zh-CN"/>
        </w:rPr>
        <w:t>。</w:t>
      </w:r>
    </w:p>
    <w:p w14:paraId="45EB0B3C">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400" w:lineRule="exact"/>
        <w:ind w:leftChars="200"/>
        <w:jc w:val="both"/>
        <w:textAlignment w:val="auto"/>
        <w:rPr>
          <w:rFonts w:hAnsi="Times New Roman"/>
          <w:color w:val="auto"/>
          <w:sz w:val="21"/>
          <w:szCs w:val="21"/>
          <w:highlight w:val="none"/>
        </w:rPr>
      </w:pPr>
      <w:r>
        <w:rPr>
          <w:rFonts w:hint="eastAsia"/>
          <w:color w:val="auto"/>
          <w:sz w:val="21"/>
          <w:szCs w:val="21"/>
          <w:highlight w:val="none"/>
          <w:lang w:val="en-US" w:eastAsia="zh-CN"/>
        </w:rPr>
        <w:t>1.4.3</w:t>
      </w:r>
      <w:r>
        <w:rPr>
          <w:rFonts w:hint="default" w:hAnsi="Times New Roman"/>
          <w:color w:val="auto"/>
          <w:sz w:val="21"/>
          <w:szCs w:val="21"/>
          <w:highlight w:val="none"/>
        </w:rPr>
        <w:t>投标人</w:t>
      </w:r>
      <w:r>
        <w:rPr>
          <w:rFonts w:hint="eastAsia"/>
          <w:color w:val="auto"/>
          <w:sz w:val="21"/>
          <w:szCs w:val="21"/>
          <w:highlight w:val="none"/>
          <w:lang w:eastAsia="zh-CN"/>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投标人是联合体的，指联合体各方</w:t>
      </w:r>
      <w:r>
        <w:rPr>
          <w:rFonts w:hint="eastAsia"/>
          <w:color w:val="auto"/>
          <w:sz w:val="21"/>
          <w:szCs w:val="21"/>
          <w:highlight w:val="none"/>
          <w:lang w:eastAsia="zh-CN"/>
        </w:rPr>
        <w:t>）</w:t>
      </w:r>
      <w:r>
        <w:rPr>
          <w:rFonts w:hint="default" w:hAnsi="Times New Roman"/>
          <w:color w:val="auto"/>
          <w:sz w:val="21"/>
          <w:szCs w:val="21"/>
          <w:highlight w:val="none"/>
        </w:rPr>
        <w:t>不得存在下列情形之一：</w:t>
      </w:r>
    </w:p>
    <w:p w14:paraId="4424378E">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为招标人不具有独立法人资格的附属机构（单位）；</w:t>
      </w:r>
    </w:p>
    <w:p w14:paraId="1800C32B">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pacing w:val="-5"/>
          <w:sz w:val="21"/>
          <w:szCs w:val="21"/>
          <w:highlight w:val="none"/>
        </w:rPr>
      </w:pPr>
      <w:r>
        <w:rPr>
          <w:rFonts w:hint="default" w:hAnsi="Times New Roman"/>
          <w:color w:val="auto"/>
          <w:sz w:val="21"/>
          <w:szCs w:val="21"/>
          <w:highlight w:val="none"/>
        </w:rPr>
        <w:t>为</w:t>
      </w:r>
      <w:r>
        <w:rPr>
          <w:rFonts w:hint="default" w:hAnsi="Times New Roman"/>
          <w:color w:val="auto"/>
          <w:spacing w:val="-5"/>
          <w:sz w:val="21"/>
          <w:szCs w:val="21"/>
          <w:highlight w:val="none"/>
        </w:rPr>
        <w:t>与招标人存在利害关系可能影响招标公正性的法人、其他组织或者个人；</w:t>
      </w:r>
    </w:p>
    <w:p w14:paraId="02B5660C">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不同投标人的单位负责人为同一人或者互相存在控股、管理关系的；</w:t>
      </w:r>
    </w:p>
    <w:p w14:paraId="0E93877B">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为本标段前期工作提供咨询服务的，但政府投资项目已公开项目建议书、可行性研究报告及初步设计文件的可研、勘察设计编制单位及其评估单位除外；</w:t>
      </w:r>
    </w:p>
    <w:p w14:paraId="5AEBAB40">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为本标段的监理人；</w:t>
      </w:r>
    </w:p>
    <w:p w14:paraId="742B12D9">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为本标段的代建人；</w:t>
      </w:r>
    </w:p>
    <w:p w14:paraId="39B16BDC">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为本标段提供招标代理服务的；</w:t>
      </w:r>
    </w:p>
    <w:p w14:paraId="1827CF62">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与本标段的监理人或代建人或招标代理机构同为一个法定代表人的；</w:t>
      </w:r>
    </w:p>
    <w:p w14:paraId="4286D9CD">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与本标段的监理人或代建人或招标代理机构相互控股或参股的；</w:t>
      </w:r>
    </w:p>
    <w:p w14:paraId="690AD606">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与本标段的监理人或代建人或招标代理机构相互任职或工作的；</w:t>
      </w:r>
    </w:p>
    <w:p w14:paraId="230111C1">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被责令停产停业、暂扣或者吊销许可证、暂扣或者吊销执照；</w:t>
      </w:r>
    </w:p>
    <w:p w14:paraId="2427F8E8">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进入清算程序，或被宣告破产；</w:t>
      </w:r>
    </w:p>
    <w:p w14:paraId="1BF64C7A">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hAnsi="Times New Roman"/>
          <w:color w:val="auto"/>
          <w:sz w:val="21"/>
          <w:szCs w:val="21"/>
          <w:highlight w:val="none"/>
        </w:rPr>
        <w:t>被依法暂停或取消投标资格的；</w:t>
      </w:r>
    </w:p>
    <w:p w14:paraId="0F27195F">
      <w:pPr>
        <w:pStyle w:val="10"/>
        <w:keepNext w:val="0"/>
        <w:keepLines w:val="0"/>
        <w:pageBreakBefore w:val="0"/>
        <w:widowControl w:val="0"/>
        <w:numPr>
          <w:ilvl w:val="0"/>
          <w:numId w:val="17"/>
        </w:numPr>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Ansi="Times New Roman"/>
          <w:color w:val="auto"/>
          <w:sz w:val="21"/>
          <w:szCs w:val="21"/>
          <w:highlight w:val="none"/>
        </w:rPr>
      </w:pPr>
      <w:r>
        <w:rPr>
          <w:rFonts w:hint="default"/>
          <w:color w:val="auto"/>
          <w:sz w:val="21"/>
          <w:szCs w:val="21"/>
          <w:highlight w:val="none"/>
        </w:rPr>
        <w:t>法律法规或投标人须知前附表规定的其他情形。</w:t>
      </w:r>
    </w:p>
    <w:p w14:paraId="6FE5DBA8">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bookmarkStart w:id="26" w:name="bookmark27"/>
      <w:bookmarkEnd w:id="26"/>
      <w:r>
        <w:rPr>
          <w:rFonts w:hint="eastAsia" w:ascii="宋体" w:hAnsi="宋体" w:eastAsia="宋体" w:cs="宋体"/>
          <w:b/>
          <w:color w:val="auto"/>
          <w:sz w:val="21"/>
          <w:szCs w:val="21"/>
          <w:highlight w:val="none"/>
        </w:rPr>
        <w:t>1.5费用承担和设计成果补偿</w:t>
      </w:r>
    </w:p>
    <w:p w14:paraId="27D3789F">
      <w:pPr>
        <w:keepNext w:val="0"/>
        <w:keepLines w:val="0"/>
        <w:pageBreakBefore w:val="0"/>
        <w:widowControl w:val="0"/>
        <w:kinsoku/>
        <w:wordWrap/>
        <w:overflowPunct/>
        <w:topLinePunct w:val="0"/>
        <w:autoSpaceDE/>
        <w:autoSpaceDN/>
        <w:bidi w:val="0"/>
        <w:adjustRightInd w:val="0"/>
        <w:snapToGrid w:val="0"/>
        <w:spacing w:line="400" w:lineRule="exact"/>
        <w:ind w:left="37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27" w:name="bookmark28"/>
      <w:bookmarkEnd w:id="27"/>
      <w:r>
        <w:rPr>
          <w:rFonts w:hint="eastAsia" w:ascii="宋体" w:hAnsi="宋体" w:eastAsia="宋体" w:cs="宋体"/>
          <w:i w:val="0"/>
          <w:iCs w:val="0"/>
          <w:color w:val="000000" w:themeColor="text1"/>
          <w:spacing w:val="0"/>
          <w:sz w:val="21"/>
          <w:szCs w:val="21"/>
          <w:highlight w:val="none"/>
          <w14:textFill>
            <w14:solidFill>
              <w14:schemeClr w14:val="tx1"/>
            </w14:solidFill>
          </w14:textFill>
        </w:rPr>
        <w:t>1.5.1 投标人准备和参加投标活动发生的费用自理。</w:t>
      </w:r>
    </w:p>
    <w:p w14:paraId="727A61D0">
      <w:pPr>
        <w:keepNext w:val="0"/>
        <w:keepLines w:val="0"/>
        <w:pageBreakBefore w:val="0"/>
        <w:widowControl w:val="0"/>
        <w:kinsoku/>
        <w:wordWrap/>
        <w:overflowPunct/>
        <w:topLinePunct w:val="0"/>
        <w:autoSpaceDE/>
        <w:autoSpaceDN/>
        <w:bidi w:val="0"/>
        <w:adjustRightInd w:val="0"/>
        <w:snapToGrid w:val="0"/>
        <w:spacing w:line="400" w:lineRule="exact"/>
        <w:ind w:left="37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1.5.2 招标人对符合招标文件规定的未中标人的设计成果进行补偿的，按投标人须知前附表规定给予补偿。</w:t>
      </w:r>
    </w:p>
    <w:p w14:paraId="3C74ACB1">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1.6保密</w:t>
      </w:r>
    </w:p>
    <w:p w14:paraId="6A6C1061">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16"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参与招标投标活动的各方应对招标文件和投标文件中的商业和技术等秘密保密，否则应承</w:t>
      </w:r>
      <w:r>
        <w:rPr>
          <w:rFonts w:hint="eastAsia" w:ascii="宋体" w:hAnsi="宋体" w:eastAsia="宋体" w:cs="宋体"/>
          <w:color w:val="auto"/>
          <w:sz w:val="21"/>
          <w:szCs w:val="21"/>
          <w:highlight w:val="none"/>
        </w:rPr>
        <w:t>担相应的法律责任。</w:t>
      </w:r>
    </w:p>
    <w:p w14:paraId="1F9A5450">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bookmarkStart w:id="28" w:name="bookmark29"/>
      <w:bookmarkEnd w:id="28"/>
      <w:r>
        <w:rPr>
          <w:rFonts w:hint="eastAsia" w:ascii="宋体" w:hAnsi="宋体" w:eastAsia="宋体" w:cs="宋体"/>
          <w:b/>
          <w:color w:val="auto"/>
          <w:sz w:val="21"/>
          <w:szCs w:val="21"/>
          <w:highlight w:val="none"/>
        </w:rPr>
        <w:t>1.7语言文字</w:t>
      </w:r>
    </w:p>
    <w:p w14:paraId="53D87E09">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pacing w:val="-5"/>
          <w:sz w:val="21"/>
          <w:szCs w:val="21"/>
          <w:highlight w:val="none"/>
        </w:rPr>
      </w:pPr>
      <w:r>
        <w:rPr>
          <w:rFonts w:hint="eastAsia" w:ascii="宋体" w:hAnsi="宋体" w:eastAsia="宋体" w:cs="宋体"/>
          <w:color w:val="auto"/>
          <w:sz w:val="21"/>
          <w:szCs w:val="21"/>
          <w:highlight w:val="none"/>
        </w:rPr>
        <w:t>招标投标文件使用的语言文字为中文。</w:t>
      </w:r>
      <w:r>
        <w:rPr>
          <w:rFonts w:hint="eastAsia" w:ascii="宋体" w:hAnsi="宋体" w:eastAsia="宋体" w:cs="宋体"/>
          <w:color w:val="auto"/>
          <w:spacing w:val="-5"/>
          <w:sz w:val="21"/>
          <w:szCs w:val="21"/>
          <w:highlight w:val="none"/>
        </w:rPr>
        <w:t>专用术语使用外文的，应附有中文注释。</w:t>
      </w:r>
    </w:p>
    <w:p w14:paraId="0D2A0F81">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bookmarkStart w:id="29" w:name="bookmark30"/>
      <w:bookmarkEnd w:id="29"/>
      <w:r>
        <w:rPr>
          <w:rFonts w:hint="eastAsia" w:ascii="宋体" w:hAnsi="宋体" w:eastAsia="宋体" w:cs="宋体"/>
          <w:b/>
          <w:color w:val="auto"/>
          <w:sz w:val="21"/>
          <w:szCs w:val="21"/>
          <w:highlight w:val="none"/>
        </w:rPr>
        <w:t>1.8计量单位</w:t>
      </w:r>
    </w:p>
    <w:p w14:paraId="0DDAA940">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997668A">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bookmarkStart w:id="30" w:name="bookmark31"/>
      <w:bookmarkEnd w:id="30"/>
      <w:r>
        <w:rPr>
          <w:rFonts w:hint="eastAsia" w:ascii="宋体" w:hAnsi="宋体" w:eastAsia="宋体" w:cs="宋体"/>
          <w:b/>
          <w:color w:val="auto"/>
          <w:sz w:val="21"/>
          <w:szCs w:val="21"/>
          <w:highlight w:val="none"/>
        </w:rPr>
        <w:t>1.9踏勘现场</w:t>
      </w:r>
    </w:p>
    <w:p w14:paraId="7D7130A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31" w:name="bookmark32"/>
      <w:bookmarkEnd w:id="31"/>
      <w:r>
        <w:rPr>
          <w:rFonts w:hint="eastAsia" w:ascii="宋体" w:hAnsi="宋体" w:eastAsia="宋体" w:cs="宋体"/>
          <w:i w:val="0"/>
          <w:iCs w:val="0"/>
          <w:color w:val="000000" w:themeColor="text1"/>
          <w:spacing w:val="0"/>
          <w:sz w:val="21"/>
          <w:szCs w:val="21"/>
          <w:highlight w:val="none"/>
          <w14:textFill>
            <w14:solidFill>
              <w14:schemeClr w14:val="tx1"/>
            </w14:solidFill>
          </w14:textFill>
        </w:rPr>
        <w:t>1.9.1 投标人须知前附表规定组织踏勘现场的，招标人按投标人须知前附表规定的时间、地点组织投标人踏勘项目现场。</w:t>
      </w:r>
    </w:p>
    <w:p w14:paraId="47E13699">
      <w:pPr>
        <w:keepNext w:val="0"/>
        <w:keepLines w:val="0"/>
        <w:pageBreakBefore w:val="0"/>
        <w:widowControl w:val="0"/>
        <w:kinsoku/>
        <w:wordWrap/>
        <w:overflowPunct/>
        <w:topLinePunct w:val="0"/>
        <w:autoSpaceDE/>
        <w:autoSpaceDN/>
        <w:bidi w:val="0"/>
        <w:adjustRightInd w:val="0"/>
        <w:snapToGrid w:val="0"/>
        <w:spacing w:line="400" w:lineRule="exact"/>
        <w:ind w:left="39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1.9.2 投标人踏勘现场发生的费用自理。</w:t>
      </w:r>
    </w:p>
    <w:p w14:paraId="3C4F9505">
      <w:pPr>
        <w:keepNext w:val="0"/>
        <w:keepLines w:val="0"/>
        <w:pageBreakBefore w:val="0"/>
        <w:widowControl w:val="0"/>
        <w:kinsoku/>
        <w:wordWrap/>
        <w:overflowPunct/>
        <w:topLinePunct w:val="0"/>
        <w:autoSpaceDE/>
        <w:autoSpaceDN/>
        <w:bidi w:val="0"/>
        <w:adjustRightInd w:val="0"/>
        <w:snapToGrid w:val="0"/>
        <w:spacing w:line="400" w:lineRule="exact"/>
        <w:ind w:left="39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1.9.3 除招标人的原因外，投标人在踏勘现场中所发生的人员伤亡和财产损失自行负责。</w:t>
      </w:r>
    </w:p>
    <w:p w14:paraId="3168737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1.9.4 招标人在踏勘现场中介绍的工程场地和相关的周边环境情况，供投标人在编制投标文件时参考，招标人不对投标人据此作出的判断和决策负责。</w:t>
      </w:r>
    </w:p>
    <w:p w14:paraId="056B13DE">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1.10投标预备会</w:t>
      </w:r>
    </w:p>
    <w:p w14:paraId="0A4B152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32" w:name="bookmark33"/>
      <w:bookmarkEnd w:id="32"/>
      <w:r>
        <w:rPr>
          <w:rFonts w:hint="eastAsia" w:ascii="宋体" w:hAnsi="宋体" w:eastAsia="宋体" w:cs="宋体"/>
          <w:i w:val="0"/>
          <w:iCs w:val="0"/>
          <w:color w:val="000000" w:themeColor="text1"/>
          <w:spacing w:val="0"/>
          <w:sz w:val="21"/>
          <w:szCs w:val="21"/>
          <w:highlight w:val="none"/>
          <w14:textFill>
            <w14:solidFill>
              <w14:schemeClr w14:val="tx1"/>
            </w14:solidFill>
          </w14:textFill>
        </w:rPr>
        <w:t>1.10.1投标人须知前附表规定召开投标预备会的，招标人按投标人须知前附表规定的时间和地点召开投标预备会，澄清投标人提出的问题。</w:t>
      </w:r>
    </w:p>
    <w:p w14:paraId="34F16C70">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1.10.2投标人提出问题的截止时间、上传疑问方式：见投标人须知前附表。</w:t>
      </w:r>
    </w:p>
    <w:p w14:paraId="6AFD311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1.10.3 招标文件的澄清、补充、修改的时间及下载网址：见投标人须知前附表。</w:t>
      </w:r>
    </w:p>
    <w:p w14:paraId="0E7DFDF5">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1.11分包</w:t>
      </w:r>
    </w:p>
    <w:p w14:paraId="5B4C95CF">
      <w:pPr>
        <w:keepNext w:val="0"/>
        <w:keepLines w:val="0"/>
        <w:pageBreakBefore w:val="0"/>
        <w:widowControl w:val="0"/>
        <w:kinsoku/>
        <w:wordWrap/>
        <w:overflowPunct/>
        <w:topLinePunct w:val="0"/>
        <w:autoSpaceDE/>
        <w:autoSpaceDN/>
        <w:bidi w:val="0"/>
        <w:adjustRightInd w:val="0"/>
        <w:snapToGrid w:val="0"/>
        <w:spacing w:line="400" w:lineRule="exact"/>
        <w:ind w:left="21" w:firstLine="3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33" w:name="bookmark34"/>
      <w:bookmarkEnd w:id="33"/>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投标人拟在中标后将中标项目的部分非主体、非关键性工作进行分包的，应符合投 标人须知前附表规定的分包内容、分包金额和接受分包的第三人资质要求等限制性条件。</w:t>
      </w:r>
    </w:p>
    <w:p w14:paraId="6B0F5EF0">
      <w:pPr>
        <w:keepNext w:val="0"/>
        <w:keepLines w:val="0"/>
        <w:pageBreakBefore w:val="0"/>
        <w:widowControl w:val="0"/>
        <w:kinsoku/>
        <w:wordWrap/>
        <w:overflowPunct/>
        <w:topLinePunct w:val="0"/>
        <w:autoSpaceDE/>
        <w:autoSpaceDN/>
        <w:bidi w:val="0"/>
        <w:adjustRightInd/>
        <w:snapToGrid/>
        <w:spacing w:line="400" w:lineRule="exact"/>
        <w:ind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1.12偏差</w:t>
      </w:r>
    </w:p>
    <w:p w14:paraId="1D6E8C94">
      <w:pPr>
        <w:keepNext w:val="0"/>
        <w:keepLines w:val="0"/>
        <w:pageBreakBefore w:val="0"/>
        <w:widowControl w:val="0"/>
        <w:kinsoku/>
        <w:wordWrap/>
        <w:overflowPunct/>
        <w:topLinePunct w:val="0"/>
        <w:autoSpaceDE/>
        <w:autoSpaceDN/>
        <w:bidi w:val="0"/>
        <w:adjustRightInd w:val="0"/>
        <w:snapToGrid w:val="0"/>
        <w:spacing w:line="400" w:lineRule="exact"/>
        <w:ind w:left="21" w:firstLine="361"/>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bookmarkStart w:id="34" w:name="_Toc45697233"/>
      <w:bookmarkStart w:id="35" w:name="_Toc12149"/>
      <w:bookmarkStart w:id="36" w:name="_Toc22828069"/>
      <w:r>
        <w:rPr>
          <w:rFonts w:hint="eastAsia" w:ascii="宋体" w:hAnsi="宋体" w:eastAsia="宋体" w:cs="宋体"/>
          <w:i w:val="0"/>
          <w:iCs w:val="0"/>
          <w:color w:val="000000" w:themeColor="text1"/>
          <w:spacing w:val="0"/>
          <w:sz w:val="21"/>
          <w:szCs w:val="21"/>
          <w:highlight w:val="none"/>
          <w14:textFill>
            <w14:solidFill>
              <w14:schemeClr w14:val="tx1"/>
            </w14:solidFill>
          </w14:textFill>
        </w:rPr>
        <w:t>1.12.1 投标文件应当对招标文件的实质性要求和条件作出满足性或更有利于招标人的响应，否则，投标人的投标将被否决。实质性要求和条件见投标人须知前附表</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7CA92D1A">
      <w:pPr>
        <w:keepNext w:val="0"/>
        <w:keepLines w:val="0"/>
        <w:pageBreakBefore w:val="0"/>
        <w:widowControl w:val="0"/>
        <w:kinsoku/>
        <w:wordWrap/>
        <w:overflowPunct/>
        <w:topLinePunct w:val="0"/>
        <w:autoSpaceDE/>
        <w:autoSpaceDN/>
        <w:bidi w:val="0"/>
        <w:adjustRightInd w:val="0"/>
        <w:snapToGrid w:val="0"/>
        <w:spacing w:line="400" w:lineRule="exact"/>
        <w:ind w:left="21" w:firstLine="3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1.12.2 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4F4D4FB4">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2.招标文件</w:t>
      </w:r>
      <w:bookmarkEnd w:id="34"/>
      <w:bookmarkEnd w:id="35"/>
      <w:bookmarkEnd w:id="36"/>
    </w:p>
    <w:p w14:paraId="63D2311E">
      <w:pPr>
        <w:keepNext w:val="0"/>
        <w:keepLines w:val="0"/>
        <w:pageBreakBefore w:val="0"/>
        <w:widowControl w:val="0"/>
        <w:kinsoku/>
        <w:overflowPunct/>
        <w:topLinePunct w:val="0"/>
        <w:autoSpaceDE/>
        <w:autoSpaceDN/>
        <w:bidi w:val="0"/>
        <w:adjustRightInd/>
        <w:snapToGrid/>
        <w:spacing w:line="400" w:lineRule="exact"/>
        <w:ind w:leftChars="0" w:firstLine="369" w:firstLineChars="175"/>
        <w:jc w:val="both"/>
        <w:textAlignment w:val="auto"/>
        <w:rPr>
          <w:rFonts w:hint="eastAsia" w:ascii="宋体" w:hAnsi="宋体" w:eastAsia="宋体" w:cs="宋体"/>
          <w:b/>
          <w:color w:val="auto"/>
          <w:sz w:val="21"/>
          <w:szCs w:val="21"/>
          <w:highlight w:val="none"/>
        </w:rPr>
      </w:pPr>
      <w:bookmarkStart w:id="37" w:name="bookmark36"/>
      <w:bookmarkEnd w:id="37"/>
      <w:r>
        <w:rPr>
          <w:rFonts w:hint="eastAsia" w:ascii="宋体" w:hAnsi="宋体" w:eastAsia="宋体" w:cs="宋体"/>
          <w:b/>
          <w:color w:val="auto"/>
          <w:sz w:val="21"/>
          <w:szCs w:val="21"/>
          <w:highlight w:val="none"/>
        </w:rPr>
        <w:t>2.1招标文件的组成</w:t>
      </w:r>
    </w:p>
    <w:p w14:paraId="230FC3D6">
      <w:pPr>
        <w:pStyle w:val="10"/>
        <w:keepNext w:val="0"/>
        <w:keepLines w:val="0"/>
        <w:pageBreakBefore w:val="0"/>
        <w:widowControl w:val="0"/>
        <w:kinsoku/>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740605B2">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招标公告（或投标邀请书）；</w:t>
      </w:r>
    </w:p>
    <w:p w14:paraId="23AB94AA">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投标人须知；</w:t>
      </w:r>
    </w:p>
    <w:p w14:paraId="07952B7F">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评标办法；</w:t>
      </w:r>
    </w:p>
    <w:p w14:paraId="0C44D8E4">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合同条款及格式；</w:t>
      </w:r>
    </w:p>
    <w:p w14:paraId="4ACB3CA8">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发包人要求</w:t>
      </w:r>
      <w:r>
        <w:rPr>
          <w:rFonts w:hint="eastAsia" w:ascii="宋体" w:hAnsi="宋体" w:eastAsia="宋体" w:cs="宋体"/>
          <w:color w:val="auto"/>
          <w:spacing w:val="-8"/>
          <w:sz w:val="21"/>
          <w:szCs w:val="21"/>
          <w:highlight w:val="none"/>
        </w:rPr>
        <w:t>；</w:t>
      </w:r>
    </w:p>
    <w:p w14:paraId="54EB9218">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发包人提供的资料和条件</w:t>
      </w:r>
      <w:r>
        <w:rPr>
          <w:rFonts w:hint="eastAsia" w:ascii="宋体" w:hAnsi="宋体" w:eastAsia="宋体" w:cs="宋体"/>
          <w:color w:val="auto"/>
          <w:spacing w:val="-8"/>
          <w:sz w:val="21"/>
          <w:szCs w:val="21"/>
          <w:highlight w:val="none"/>
        </w:rPr>
        <w:t>；</w:t>
      </w:r>
    </w:p>
    <w:p w14:paraId="7DF8F6E8">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投标文件格式</w:t>
      </w:r>
      <w:r>
        <w:rPr>
          <w:rFonts w:hint="eastAsia" w:ascii="宋体" w:hAnsi="宋体" w:eastAsia="宋体" w:cs="宋体"/>
          <w:color w:val="auto"/>
          <w:spacing w:val="-8"/>
          <w:sz w:val="21"/>
          <w:szCs w:val="21"/>
          <w:highlight w:val="none"/>
        </w:rPr>
        <w:t>；</w:t>
      </w:r>
    </w:p>
    <w:p w14:paraId="27CA35CD">
      <w:pPr>
        <w:pStyle w:val="10"/>
        <w:keepNext w:val="0"/>
        <w:keepLines w:val="0"/>
        <w:pageBreakBefore w:val="0"/>
        <w:widowControl w:val="0"/>
        <w:numPr>
          <w:ilvl w:val="0"/>
          <w:numId w:val="18"/>
        </w:numPr>
        <w:kinsoku/>
        <w:overflowPunct/>
        <w:topLinePunct w:val="0"/>
        <w:autoSpaceDE/>
        <w:autoSpaceDN/>
        <w:bidi w:val="0"/>
        <w:adjustRightInd/>
        <w:snapToGrid/>
        <w:spacing w:after="0" w:afterLines="0" w:line="400" w:lineRule="exact"/>
        <w:ind w:left="0" w:leftChars="0" w:firstLine="388" w:firstLineChars="200"/>
        <w:jc w:val="both"/>
        <w:textAlignment w:val="auto"/>
        <w:rPr>
          <w:rFonts w:hint="eastAsia"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其他资料（详见投标须知前附表）</w:t>
      </w:r>
    </w:p>
    <w:p w14:paraId="0F06E47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38" w:name="bookmark37"/>
      <w:bookmarkEnd w:id="38"/>
      <w:r>
        <w:rPr>
          <w:rFonts w:hint="eastAsia" w:ascii="宋体" w:hAnsi="宋体" w:eastAsia="宋体" w:cs="宋体"/>
          <w:i w:val="0"/>
          <w:iCs w:val="0"/>
          <w:color w:val="000000" w:themeColor="text1"/>
          <w:spacing w:val="0"/>
          <w:sz w:val="21"/>
          <w:szCs w:val="21"/>
          <w:highlight w:val="none"/>
          <w14:textFill>
            <w14:solidFill>
              <w14:schemeClr w14:val="tx1"/>
            </w14:solidFill>
          </w14:textFill>
        </w:rPr>
        <w:t>根据本章第1.10和第2.2对招标文件所作的澄清、修改，构成招标文件的组成部分。招标文件、招标文件的澄清或修改等在同一内容的表述上不一致时，以最后发出的书面文件为准。</w:t>
      </w:r>
    </w:p>
    <w:p w14:paraId="132F3753">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2.2招标文件的澄清</w:t>
      </w:r>
      <w:r>
        <w:rPr>
          <w:rFonts w:hint="eastAsia" w:ascii="宋体" w:hAnsi="宋体" w:cs="宋体"/>
          <w:b/>
          <w:color w:val="auto"/>
          <w:sz w:val="21"/>
          <w:szCs w:val="21"/>
          <w:highlight w:val="none"/>
          <w:lang w:eastAsia="zh-CN"/>
        </w:rPr>
        <w:t>和修改</w:t>
      </w:r>
    </w:p>
    <w:p w14:paraId="37895D0F">
      <w:pPr>
        <w:keepNext w:val="0"/>
        <w:keepLines w:val="0"/>
        <w:pageBreakBefore w:val="0"/>
        <w:widowControl w:val="0"/>
        <w:kinsoku/>
        <w:wordWrap/>
        <w:overflowPunct/>
        <w:topLinePunct w:val="0"/>
        <w:autoSpaceDE/>
        <w:autoSpaceDN/>
        <w:bidi w:val="0"/>
        <w:adjustRightInd w:val="0"/>
        <w:snapToGrid w:val="0"/>
        <w:spacing w:line="400" w:lineRule="exact"/>
        <w:ind w:left="6" w:right="16" w:firstLine="36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2.2.1 投标人应仔细阅读和检查招标文件的全部内容。如发现缺页或附件不全，应及时向招标人提出，以便补齐。如有疑问，应在投标人须知前附表第1.10.2规定的时间前通过</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衢州市市县一体公共资源交易平台（</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http</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s</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://ggzy.qz.gov.cn</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，要求招标人对招标文件予以澄清。</w:t>
      </w:r>
    </w:p>
    <w:p w14:paraId="5F4B4F8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2.2.2 招标文件的澄清、修改可能影响投标文件编制的，招标人将在投标人须知前附表规定的投标截止时间15日前通过</w:t>
      </w:r>
      <w:r>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t>衢州市市县一体公共资源交易平台（</w:t>
      </w:r>
      <w:r>
        <w:rPr>
          <w:rFonts w:hint="eastAsia" w:ascii="宋体" w:hAnsi="宋体" w:eastAsia="宋体" w:cs="宋体"/>
          <w:color w:val="000000" w:themeColor="text1"/>
          <w:sz w:val="21"/>
          <w:szCs w:val="21"/>
          <w:highlight w:val="none"/>
          <w:u w:val="single"/>
          <w:shd w:val="clear" w:color="auto" w:fill="auto"/>
          <w14:textFill>
            <w14:solidFill>
              <w14:schemeClr w14:val="tx1"/>
            </w14:solidFill>
          </w14:textFill>
        </w:rPr>
        <w:t>http</w:t>
      </w:r>
      <w:r>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t>s</w:t>
      </w:r>
      <w:r>
        <w:rPr>
          <w:rFonts w:hint="eastAsia" w:ascii="宋体" w:hAnsi="宋体" w:eastAsia="宋体" w:cs="宋体"/>
          <w:color w:val="000000" w:themeColor="text1"/>
          <w:sz w:val="21"/>
          <w:szCs w:val="21"/>
          <w:highlight w:val="none"/>
          <w:u w:val="single"/>
          <w:shd w:val="clear" w:color="auto" w:fill="auto"/>
          <w14:textFill>
            <w14:solidFill>
              <w14:schemeClr w14:val="tx1"/>
            </w14:solidFill>
          </w14:textFill>
        </w:rPr>
        <w:t>://ggzy.qz.gov.cn</w:t>
      </w:r>
      <w:r>
        <w:rPr>
          <w:rFonts w:hint="eastAsia" w:ascii="宋体" w:hAnsi="宋体" w:eastAsia="宋体" w:cs="宋体"/>
          <w:color w:val="000000" w:themeColor="text1"/>
          <w:sz w:val="21"/>
          <w:szCs w:val="21"/>
          <w:highlight w:val="none"/>
          <w:u w:val="single"/>
          <w:shd w:val="clear" w:color="auto" w:fill="auto"/>
          <w:lang w:val="en-US"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进行发布，但不指明澄清问题的来源。如果澄清发出的时间距投标截止时间不足15日，相应延长投标截止时间。</w:t>
      </w:r>
    </w:p>
    <w:p w14:paraId="353CC7A6">
      <w:pPr>
        <w:keepNext w:val="0"/>
        <w:keepLines w:val="0"/>
        <w:pageBreakBefore w:val="0"/>
        <w:widowControl w:val="0"/>
        <w:kinsoku/>
        <w:wordWrap/>
        <w:overflowPunct/>
        <w:topLinePunct w:val="0"/>
        <w:autoSpaceDE/>
        <w:autoSpaceDN/>
        <w:bidi w:val="0"/>
        <w:adjustRightInd w:val="0"/>
        <w:snapToGrid w:val="0"/>
        <w:spacing w:line="400" w:lineRule="exact"/>
        <w:ind w:left="363"/>
        <w:jc w:val="both"/>
        <w:textAlignment w:val="auto"/>
        <w:outlineLvl w:val="9"/>
        <w:rPr>
          <w:rFonts w:hint="eastAsia" w:ascii="宋体" w:hAnsi="宋体" w:eastAsia="宋体" w:cs="宋体"/>
          <w:spacing w:val="-6"/>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2.2.3 投标人确认收到招标文件澄清和修改内容的时间：见投标人须知前附表。</w:t>
      </w:r>
    </w:p>
    <w:p w14:paraId="4BDD9A8E">
      <w:pPr>
        <w:pageBreakBefore w:val="0"/>
        <w:widowControl w:val="0"/>
        <w:kinsoku/>
        <w:overflowPunct/>
        <w:autoSpaceDE/>
        <w:autoSpaceDN/>
        <w:bidi w:val="0"/>
        <w:adjustRightInd/>
        <w:snapToGrid/>
        <w:spacing w:line="400" w:lineRule="exact"/>
        <w:ind w:leftChars="0"/>
        <w:textAlignment w:val="auto"/>
        <w:rPr>
          <w:rFonts w:hint="eastAsia" w:ascii="宋体" w:hAnsi="宋体" w:eastAsia="宋体" w:cs="宋体"/>
          <w:b/>
          <w:sz w:val="21"/>
          <w:szCs w:val="21"/>
          <w:highlight w:val="none"/>
        </w:rPr>
      </w:pPr>
      <w:bookmarkStart w:id="39" w:name="_Toc179632564"/>
      <w:bookmarkStart w:id="40" w:name="_Toc152042322"/>
      <w:bookmarkStart w:id="41" w:name="_Toc144974514"/>
      <w:bookmarkStart w:id="42" w:name="_Toc152045546"/>
      <w:r>
        <w:rPr>
          <w:rFonts w:hint="eastAsia" w:ascii="宋体" w:hAnsi="宋体" w:eastAsia="宋体" w:cs="宋体"/>
          <w:b/>
          <w:sz w:val="21"/>
          <w:szCs w:val="21"/>
          <w:highlight w:val="none"/>
        </w:rPr>
        <w:t>3.投标文件</w:t>
      </w:r>
      <w:bookmarkEnd w:id="39"/>
      <w:bookmarkEnd w:id="40"/>
      <w:bookmarkEnd w:id="41"/>
      <w:bookmarkEnd w:id="42"/>
    </w:p>
    <w:p w14:paraId="6464E03A">
      <w:pPr>
        <w:pStyle w:val="47"/>
        <w:pageBreakBefore w:val="0"/>
        <w:widowControl w:val="0"/>
        <w:kinsoku/>
        <w:wordWrap/>
        <w:overflowPunct/>
        <w:topLinePunct w:val="0"/>
        <w:autoSpaceDE/>
        <w:autoSpaceDN/>
        <w:bidi w:val="0"/>
        <w:adjustRightInd/>
        <w:snapToGrid/>
        <w:spacing w:before="0" w:after="0" w:line="400" w:lineRule="exact"/>
        <w:ind w:leftChars="0"/>
        <w:textAlignment w:val="auto"/>
        <w:rPr>
          <w:rFonts w:hint="eastAsia" w:ascii="宋体" w:hAnsi="宋体" w:eastAsia="宋体" w:cs="宋体"/>
          <w:b/>
          <w:sz w:val="21"/>
          <w:szCs w:val="21"/>
          <w:highlight w:val="none"/>
        </w:rPr>
      </w:pPr>
      <w:bookmarkStart w:id="43" w:name="_Toc144974515"/>
      <w:bookmarkStart w:id="44" w:name="_Toc179632565"/>
      <w:bookmarkStart w:id="45" w:name="_Toc152042323"/>
      <w:bookmarkStart w:id="46" w:name="_Toc152045547"/>
      <w:bookmarkStart w:id="47" w:name="_Toc179632567"/>
      <w:bookmarkStart w:id="48" w:name="_Toc152045549"/>
      <w:bookmarkStart w:id="49" w:name="_Toc144974517"/>
      <w:bookmarkStart w:id="50" w:name="_Toc152042325"/>
      <w:r>
        <w:rPr>
          <w:rFonts w:hint="eastAsia" w:ascii="宋体" w:hAnsi="宋体" w:eastAsia="宋体" w:cs="宋体"/>
          <w:b/>
          <w:sz w:val="21"/>
          <w:szCs w:val="21"/>
          <w:highlight w:val="none"/>
        </w:rPr>
        <w:t>3.1 投标文件的组成</w:t>
      </w:r>
      <w:bookmarkEnd w:id="43"/>
      <w:bookmarkEnd w:id="44"/>
      <w:bookmarkEnd w:id="45"/>
      <w:bookmarkEnd w:id="46"/>
    </w:p>
    <w:p w14:paraId="158BF1B4">
      <w:pPr>
        <w:pStyle w:val="46"/>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投标文件根据评标办法由投标文件商务标、技术标、资信标、资格审查资料组成。</w:t>
      </w:r>
    </w:p>
    <w:p w14:paraId="7106691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（一）</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资格审查资料</w:t>
      </w:r>
    </w:p>
    <w:p w14:paraId="16C46D66">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（1）封面；</w:t>
      </w:r>
    </w:p>
    <w:p w14:paraId="19A15DD6">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目录</w:t>
      </w:r>
    </w:p>
    <w:p w14:paraId="42D08F27">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）资质资格证明材料；</w:t>
      </w:r>
    </w:p>
    <w:p w14:paraId="306360FA">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）项目管理班子配备；</w:t>
      </w:r>
    </w:p>
    <w:p w14:paraId="30135EC4">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）投标保证金；</w:t>
      </w:r>
    </w:p>
    <w:p w14:paraId="04CD01C6">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）联合体协议书；</w:t>
      </w:r>
    </w:p>
    <w:p w14:paraId="2CE8E43A">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）省外企业进浙承接业务备案证明</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w:t>
      </w:r>
    </w:p>
    <w:p w14:paraId="59CB8CF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提供投标人自招标公告发布之日至投标截止日之间任意一次在“浙江省建筑市场监管公共服务系统”上，参与投标资质的“资质动态核查结果证明”的；</w:t>
      </w:r>
    </w:p>
    <w:p w14:paraId="45653E24">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9</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r>
        <w:rPr>
          <w:rFonts w:hint="eastAsia" w:ascii="宋体" w:hAnsi="宋体" w:eastAsia="宋体" w:cs="宋体"/>
          <w:i w:val="0"/>
          <w:iCs w:val="0"/>
          <w:spacing w:val="0"/>
          <w:sz w:val="21"/>
          <w:szCs w:val="21"/>
          <w:highlight w:val="none"/>
          <w:lang w:eastAsia="zh-CN"/>
        </w:rPr>
        <w:t>。</w:t>
      </w:r>
    </w:p>
    <w:p w14:paraId="556AE3B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（二）</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技术标:</w:t>
      </w:r>
    </w:p>
    <w:p w14:paraId="61EFE3E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封面</w:t>
      </w:r>
    </w:p>
    <w:p w14:paraId="173544C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目录</w:t>
      </w:r>
    </w:p>
    <w:p w14:paraId="1C57547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工程总承包管理方案</w:t>
      </w:r>
    </w:p>
    <w:p w14:paraId="45944DC1">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）设计方案</w:t>
      </w:r>
    </w:p>
    <w:p w14:paraId="3B7B11A5">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施工方案</w:t>
      </w:r>
    </w:p>
    <w:p w14:paraId="5728A767">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采购方案</w:t>
      </w:r>
    </w:p>
    <w:p w14:paraId="764F79E2">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）服务承诺与售后服务</w:t>
      </w:r>
    </w:p>
    <w:p w14:paraId="32195D3C">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8</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p>
    <w:p w14:paraId="4A72E2F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（三）</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资信标:</w:t>
      </w:r>
    </w:p>
    <w:p w14:paraId="7232803B">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封面</w:t>
      </w:r>
    </w:p>
    <w:p w14:paraId="453C9D1C">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目录</w:t>
      </w:r>
    </w:p>
    <w:p w14:paraId="64DEAC28">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业绩汇总表（评分业绩条件的汇总）；</w:t>
      </w:r>
    </w:p>
    <w:p w14:paraId="00E787B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p>
    <w:p w14:paraId="144ED59C">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（四）</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商务标：</w:t>
      </w:r>
    </w:p>
    <w:p w14:paraId="2AFA5D96">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封面</w:t>
      </w:r>
    </w:p>
    <w:p w14:paraId="506EE77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目录</w:t>
      </w:r>
    </w:p>
    <w:p w14:paraId="595A75A9">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）法定代表人资格证明书；</w:t>
      </w:r>
    </w:p>
    <w:p w14:paraId="0E20E411">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）法定代表人授权委托书</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、参加开标会议委托书参考格式</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6DED1FE3">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）投标函；</w:t>
      </w:r>
    </w:p>
    <w:p w14:paraId="7520B3D8">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）投标函附录；</w:t>
      </w:r>
    </w:p>
    <w:p w14:paraId="51C1760D">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）投标承诺书；</w:t>
      </w:r>
    </w:p>
    <w:p w14:paraId="0B7A7694">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auto"/>
          <w:spacing w:val="0"/>
          <w:sz w:val="21"/>
          <w:szCs w:val="21"/>
          <w:highlight w:val="none"/>
          <w:lang w:eastAsia="zh-CN"/>
        </w:rPr>
      </w:pPr>
      <w:r>
        <w:rPr>
          <w:rFonts w:hint="eastAsia" w:ascii="宋体" w:hAnsi="宋体" w:eastAsia="宋体" w:cs="宋体"/>
          <w:i w:val="0"/>
          <w:iCs w:val="0"/>
          <w:color w:val="auto"/>
          <w:spacing w:val="0"/>
          <w:sz w:val="21"/>
          <w:szCs w:val="21"/>
          <w:highlight w:val="none"/>
          <w:lang w:eastAsia="zh-CN"/>
        </w:rPr>
        <w:t>（</w:t>
      </w:r>
      <w:r>
        <w:rPr>
          <w:rFonts w:hint="eastAsia" w:ascii="宋体" w:hAnsi="宋体" w:cs="宋体"/>
          <w:i w:val="0"/>
          <w:iCs w:val="0"/>
          <w:color w:val="auto"/>
          <w:spacing w:val="0"/>
          <w:sz w:val="21"/>
          <w:szCs w:val="21"/>
          <w:highlight w:val="none"/>
          <w:lang w:val="en-US" w:eastAsia="zh-CN"/>
        </w:rPr>
        <w:t>8</w:t>
      </w:r>
      <w:r>
        <w:rPr>
          <w:rFonts w:hint="eastAsia" w:ascii="宋体" w:hAnsi="宋体" w:eastAsia="宋体" w:cs="宋体"/>
          <w:i w:val="0"/>
          <w:iCs w:val="0"/>
          <w:color w:val="auto"/>
          <w:spacing w:val="0"/>
          <w:sz w:val="21"/>
          <w:szCs w:val="21"/>
          <w:highlight w:val="none"/>
          <w:lang w:eastAsia="zh-CN"/>
        </w:rPr>
        <w:t>）已标价工程量清单</w:t>
      </w:r>
      <w:r>
        <w:rPr>
          <w:rFonts w:hint="eastAsia" w:ascii="宋体" w:hAnsi="宋体" w:cs="宋体"/>
          <w:i w:val="0"/>
          <w:iCs w:val="0"/>
          <w:color w:val="auto"/>
          <w:spacing w:val="0"/>
          <w:sz w:val="21"/>
          <w:szCs w:val="21"/>
          <w:highlight w:val="none"/>
          <w:lang w:eastAsia="zh-CN"/>
        </w:rPr>
        <w:t>；</w:t>
      </w:r>
    </w:p>
    <w:p w14:paraId="423DF31F">
      <w:pPr>
        <w:keepNext w:val="0"/>
        <w:keepLines w:val="0"/>
        <w:pageBreakBefore w:val="0"/>
        <w:widowControl w:val="0"/>
        <w:kinsoku/>
        <w:wordWrap/>
        <w:overflowPunct/>
        <w:topLinePunct w:val="0"/>
        <w:autoSpaceDE/>
        <w:autoSpaceDN/>
        <w:bidi w:val="0"/>
        <w:adjustRightInd w:val="0"/>
        <w:snapToGrid w:val="0"/>
        <w:spacing w:line="400" w:lineRule="exact"/>
        <w:ind w:left="11" w:firstLine="359"/>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sectPr>
          <w:footerReference r:id="rId3" w:type="default"/>
          <w:pgSz w:w="11850" w:h="16783"/>
          <w:pgMar w:top="1134" w:right="1134" w:bottom="1134" w:left="1134" w:header="0" w:footer="992" w:gutter="0"/>
          <w:pgNumType w:fmt="decimal"/>
          <w:cols w:space="720" w:num="1"/>
        </w:sect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9</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）招标文件要求投标人提交的其它投标资料(见投标须知前附表）</w:t>
      </w:r>
    </w:p>
    <w:p w14:paraId="2C03572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p>
    <w:bookmarkEnd w:id="47"/>
    <w:bookmarkEnd w:id="48"/>
    <w:bookmarkEnd w:id="49"/>
    <w:bookmarkEnd w:id="50"/>
    <w:p w14:paraId="61AC475E">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bookmarkStart w:id="51" w:name="_Toc144974518"/>
      <w:bookmarkStart w:id="52" w:name="_Toc179632568"/>
      <w:bookmarkStart w:id="53" w:name="_Toc152042326"/>
      <w:bookmarkStart w:id="54" w:name="_Toc152045550"/>
      <w:bookmarkStart w:id="55" w:name="_Toc144974521"/>
      <w:bookmarkStart w:id="56" w:name="_Toc179632571"/>
      <w:bookmarkStart w:id="57" w:name="_Toc152042329"/>
      <w:bookmarkStart w:id="58" w:name="_Toc152045553"/>
      <w:r>
        <w:rPr>
          <w:rFonts w:hint="eastAsia" w:ascii="宋体" w:hAnsi="宋体" w:eastAsia="宋体" w:cs="宋体"/>
          <w:b/>
          <w:color w:val="auto"/>
          <w:sz w:val="21"/>
          <w:szCs w:val="21"/>
          <w:highlight w:val="none"/>
        </w:rPr>
        <w:t>3.2投标报价</w:t>
      </w:r>
    </w:p>
    <w:p w14:paraId="41D79C7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59" w:name="bookmark43"/>
      <w:bookmarkEnd w:id="59"/>
      <w:r>
        <w:rPr>
          <w:rFonts w:hint="eastAsia" w:ascii="宋体" w:hAnsi="宋体" w:eastAsia="宋体" w:cs="宋体"/>
          <w:i w:val="0"/>
          <w:iCs w:val="0"/>
          <w:color w:val="000000" w:themeColor="text1"/>
          <w:spacing w:val="0"/>
          <w:sz w:val="21"/>
          <w:szCs w:val="21"/>
          <w:highlight w:val="none"/>
          <w14:textFill>
            <w14:solidFill>
              <w14:schemeClr w14:val="tx1"/>
            </w14:solidFill>
          </w14:textFill>
        </w:rPr>
        <w:t>3.2.1投标人应按第</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八</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章“投标文件格式”的要求填写项目清单。</w:t>
      </w:r>
    </w:p>
    <w:p w14:paraId="76053C5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3.2.2投标人应充分了解施工场地的位置、周边环境、道路、装卸、保管、安装限制以及影响投标报价的其他要素。投标人根据投标设计，结合市场情况进行投标报价。</w:t>
      </w:r>
    </w:p>
    <w:p w14:paraId="0D976A60">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3.2.3投标人在投标截止时间前修改投标函中的投标报价总额，应同时修改投标文件“项目清单”中的相应报价，投标报价总额为各分项金额之和。此修改须符合本章第4.3的有关要求。</w:t>
      </w:r>
    </w:p>
    <w:p w14:paraId="0619ED9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3.2.4招标人设有最高投标限价的，投标人的投标报价不得超过最高投标限价，最高投标限价或其计算方法见投标人须知前附表。</w:t>
      </w:r>
    </w:p>
    <w:p w14:paraId="693E56C9">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3.2.5投标报价的其他要求见投标人须知前附表。</w:t>
      </w:r>
    </w:p>
    <w:p w14:paraId="47D40F59">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3.3投标有效期</w:t>
      </w:r>
    </w:p>
    <w:p w14:paraId="4CBB587C">
      <w:pPr>
        <w:pStyle w:val="10"/>
        <w:keepNext w:val="0"/>
        <w:keepLines w:val="0"/>
        <w:pageBreakBefore w:val="0"/>
        <w:widowControl w:val="0"/>
        <w:numPr>
          <w:ilvl w:val="0"/>
          <w:numId w:val="0"/>
        </w:numPr>
        <w:kinsoku/>
        <w:overflowPunct/>
        <w:topLinePunct w:val="0"/>
        <w:autoSpaceDE/>
        <w:autoSpaceDN/>
        <w:bidi w:val="0"/>
        <w:adjustRightInd/>
        <w:snapToGrid/>
        <w:spacing w:after="0" w:afterLines="0" w:line="40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3.3.1</w:t>
      </w:r>
      <w:r>
        <w:rPr>
          <w:rFonts w:hint="eastAsia" w:ascii="宋体" w:hAnsi="宋体" w:eastAsia="宋体" w:cs="宋体"/>
          <w:color w:val="auto"/>
          <w:sz w:val="21"/>
          <w:szCs w:val="21"/>
          <w:highlight w:val="none"/>
        </w:rPr>
        <w:t>在投标人须知前附表规定的投标有效期内，投标人不得要求撤销或修改其投标文件。</w:t>
      </w:r>
    </w:p>
    <w:p w14:paraId="49779332">
      <w:pPr>
        <w:pStyle w:val="10"/>
        <w:keepNext w:val="0"/>
        <w:keepLines w:val="0"/>
        <w:pageBreakBefore w:val="0"/>
        <w:widowControl w:val="0"/>
        <w:numPr>
          <w:ilvl w:val="0"/>
          <w:numId w:val="0"/>
        </w:numPr>
        <w:kinsoku/>
        <w:overflowPunct/>
        <w:topLinePunct w:val="0"/>
        <w:autoSpaceDE/>
        <w:autoSpaceDN/>
        <w:bidi w:val="0"/>
        <w:adjustRightInd/>
        <w:snapToGrid/>
        <w:spacing w:after="0" w:afterLines="0" w:line="40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3.3.2</w:t>
      </w:r>
      <w:r>
        <w:rPr>
          <w:rFonts w:hint="eastAsia" w:ascii="宋体" w:hAnsi="宋体" w:eastAsia="宋体" w:cs="宋体"/>
          <w:color w:val="auto"/>
          <w:sz w:val="21"/>
          <w:szCs w:val="21"/>
          <w:highlight w:val="none"/>
        </w:rPr>
        <w:t>在投标有效期内，投标人撤销投标文件的，应承担招标文件和法律规定的责任。</w:t>
      </w:r>
    </w:p>
    <w:p w14:paraId="6489449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3.3.3 出现特殊情况需要延长投标有效期的，招标人以书面形式（或电子交易平台）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5CAADACD">
      <w:pPr>
        <w:pageBreakBefore w:val="0"/>
        <w:widowControl w:val="0"/>
        <w:kinsoku/>
        <w:overflowPunct/>
        <w:autoSpaceDE/>
        <w:autoSpaceDN/>
        <w:bidi w:val="0"/>
        <w:adjustRightInd/>
        <w:snapToGrid/>
        <w:spacing w:line="400" w:lineRule="exact"/>
        <w:ind w:lef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3.4 投标保证金</w:t>
      </w:r>
    </w:p>
    <w:bookmarkEnd w:id="51"/>
    <w:bookmarkEnd w:id="52"/>
    <w:bookmarkEnd w:id="53"/>
    <w:bookmarkEnd w:id="54"/>
    <w:p w14:paraId="01E5E04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60" w:name="_Toc152042328"/>
      <w:bookmarkStart w:id="61" w:name="_Toc152045552"/>
      <w:bookmarkStart w:id="62" w:name="_Toc144974520"/>
      <w:bookmarkStart w:id="63" w:name="_Toc179632570"/>
      <w:r>
        <w:rPr>
          <w:rFonts w:hint="eastAsia" w:ascii="宋体" w:hAnsi="宋体" w:eastAsia="宋体" w:cs="宋体"/>
          <w:i w:val="0"/>
          <w:iCs w:val="0"/>
          <w:color w:val="000000" w:themeColor="text1"/>
          <w:spacing w:val="0"/>
          <w:sz w:val="21"/>
          <w:szCs w:val="21"/>
          <w:highlight w:val="none"/>
          <w14:textFill>
            <w14:solidFill>
              <w14:schemeClr w14:val="tx1"/>
            </w14:solidFill>
          </w14:textFill>
        </w:rPr>
        <w:t>3.4.1 投标人在递交投标文件的同时，应按投标人须知前附表规定的金额、担保形式和第</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八</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章“投标文件格式 ”规定的投标保证金格式递交投标保证金，并作为其投标文件的组成部分。联合体投标的，其投标保证金由牵头人递交，并应符合投标人须知前附表的规定。</w:t>
      </w:r>
    </w:p>
    <w:p w14:paraId="3DDBECC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3.4.2 投标人不按本章第3.4.1要求提交投标保证金的，其投标文件作否决投标处理。</w:t>
      </w:r>
    </w:p>
    <w:p w14:paraId="6B9F705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3.4.3 有下列情形之一的，投标保证金将不予退还：</w:t>
      </w:r>
    </w:p>
    <w:p w14:paraId="67E4418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（1）在提交投标文件截止时间后到招标文件规定的投标有效期终止之前，投标人撤销其投标文件的；</w:t>
      </w:r>
    </w:p>
    <w:p w14:paraId="05169A5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（2）中标人在收到中标通知书后，无正当理由不与招标人订立合同，在签订合同时向招标人提出附加条件，或者不按照招标文件要求提交履约担保；</w:t>
      </w:r>
    </w:p>
    <w:p w14:paraId="738AC80D">
      <w:pPr>
        <w:keepNext w:val="0"/>
        <w:keepLines w:val="0"/>
        <w:pageBreakBefore w:val="0"/>
        <w:widowControl w:val="0"/>
        <w:kinsoku/>
        <w:wordWrap/>
        <w:overflowPunct/>
        <w:topLinePunct w:val="0"/>
        <w:autoSpaceDE/>
        <w:autoSpaceDN/>
        <w:bidi w:val="0"/>
        <w:adjustRightInd w:val="0"/>
        <w:snapToGrid w:val="0"/>
        <w:spacing w:line="400" w:lineRule="exact"/>
        <w:ind w:left="30" w:right="65" w:firstLine="365"/>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（3）投标人须知前附表规定的其他情形。</w:t>
      </w:r>
    </w:p>
    <w:bookmarkEnd w:id="55"/>
    <w:bookmarkEnd w:id="56"/>
    <w:bookmarkEnd w:id="57"/>
    <w:bookmarkEnd w:id="58"/>
    <w:bookmarkEnd w:id="60"/>
    <w:bookmarkEnd w:id="61"/>
    <w:bookmarkEnd w:id="62"/>
    <w:bookmarkEnd w:id="63"/>
    <w:p w14:paraId="25C5021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cs="宋体"/>
          <w:b/>
          <w:bCs/>
          <w:i w:val="0"/>
          <w:iCs w:val="0"/>
          <w:color w:val="000000" w:themeColor="text1"/>
          <w:spacing w:val="0"/>
          <w:sz w:val="21"/>
          <w:szCs w:val="21"/>
          <w:highlight w:val="none"/>
          <w:lang w:eastAsia="zh-CN"/>
          <w14:textFill>
            <w14:solidFill>
              <w14:schemeClr w14:val="tx1"/>
            </w14:solidFill>
          </w14:textFill>
        </w:rPr>
      </w:pPr>
      <w:bookmarkStart w:id="64" w:name="_Toc152042330"/>
      <w:bookmarkStart w:id="65" w:name="_Toc179632572"/>
      <w:bookmarkStart w:id="66" w:name="_Toc144974522"/>
      <w:bookmarkStart w:id="67" w:name="_Toc152045554"/>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3.5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r>
        <w:rPr>
          <w:rFonts w:hint="eastAsia" w:ascii="宋体" w:hAnsi="宋体" w:cs="宋体"/>
          <w:b/>
          <w:bCs/>
          <w:i w:val="0"/>
          <w:iCs w:val="0"/>
          <w:color w:val="000000" w:themeColor="text1"/>
          <w:spacing w:val="0"/>
          <w:sz w:val="21"/>
          <w:szCs w:val="21"/>
          <w:highlight w:val="none"/>
          <w:lang w:eastAsia="zh-CN"/>
          <w14:textFill>
            <w14:solidFill>
              <w14:schemeClr w14:val="tx1"/>
            </w14:solidFill>
          </w14:textFill>
        </w:rPr>
        <w:t>资格审查资料</w:t>
      </w:r>
    </w:p>
    <w:p w14:paraId="77BEC5B4">
      <w:pPr>
        <w:keepNext w:val="0"/>
        <w:keepLines w:val="0"/>
        <w:pageBreakBefore w:val="0"/>
        <w:widowControl w:val="0"/>
        <w:kinsoku/>
        <w:wordWrap/>
        <w:overflowPunct/>
        <w:topLinePunct w:val="0"/>
        <w:autoSpaceDE/>
        <w:autoSpaceDN/>
        <w:bidi w:val="0"/>
        <w:adjustRightInd w:val="0"/>
        <w:snapToGrid w:val="0"/>
        <w:spacing w:line="440" w:lineRule="exact"/>
        <w:ind w:left="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实质性响应招标文件资料见投标人须知前附表。</w:t>
      </w:r>
    </w:p>
    <w:p w14:paraId="1958FF79">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3.6备选投标方案</w:t>
      </w:r>
    </w:p>
    <w:p w14:paraId="330D65D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5F8B7DA3">
      <w:pPr>
        <w:pStyle w:val="47"/>
        <w:pageBreakBefore w:val="0"/>
        <w:widowControl w:val="0"/>
        <w:kinsoku/>
        <w:overflowPunct/>
        <w:autoSpaceDE/>
        <w:autoSpaceDN/>
        <w:bidi w:val="0"/>
        <w:adjustRightInd/>
        <w:snapToGrid/>
        <w:spacing w:before="0" w:after="0" w:line="400" w:lineRule="exact"/>
        <w:ind w:lef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3.7 投标文件的编制</w:t>
      </w:r>
      <w:bookmarkEnd w:id="64"/>
      <w:bookmarkEnd w:id="65"/>
      <w:bookmarkEnd w:id="66"/>
      <w:bookmarkEnd w:id="67"/>
    </w:p>
    <w:p w14:paraId="665EE61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3.7.1 投标文件应按第</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八</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章“投标文件格式 ”进行编写，如有必要，可以增加附页，作为投标文件的组成部分。其中，投标函附录在满足招标文件实质性要求的基础上，可以提出比招标文件要求更有利于招标人的承诺。</w:t>
      </w:r>
    </w:p>
    <w:p w14:paraId="31D158B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3.7.2 投标文件应当对招标文件有关招标范围、投标有效期、工期、质量标准等实质性内容作出响应。</w:t>
      </w:r>
    </w:p>
    <w:p w14:paraId="11C91D6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3.7.3 投标文件签字或盖章的具体要求见投标人须知前附表。</w:t>
      </w:r>
    </w:p>
    <w:p w14:paraId="6B4DC833">
      <w:pPr>
        <w:pStyle w:val="10"/>
        <w:keepNext w:val="0"/>
        <w:keepLines w:val="0"/>
        <w:pageBreakBefore w:val="0"/>
        <w:widowControl w:val="0"/>
        <w:kinsoku/>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3.7.4 投标文件份数的具体要求见投标人须知前附表。</w:t>
      </w:r>
      <w:r>
        <w:rPr>
          <w:rFonts w:hint="eastAsia" w:ascii="宋体" w:hAnsi="宋体" w:eastAsia="宋体" w:cs="宋体"/>
          <w:sz w:val="21"/>
          <w:szCs w:val="21"/>
          <w:highlight w:val="none"/>
        </w:rPr>
        <w:t xml:space="preserve"> </w:t>
      </w:r>
    </w:p>
    <w:p w14:paraId="034FCB6E">
      <w:pPr>
        <w:pageBreakBefore w:val="0"/>
        <w:widowControl w:val="0"/>
        <w:kinsoku/>
        <w:overflowPunct/>
        <w:autoSpaceDE/>
        <w:autoSpaceDN/>
        <w:bidi w:val="0"/>
        <w:adjustRightInd/>
        <w:snapToGrid/>
        <w:spacing w:before="0" w:line="400" w:lineRule="exact"/>
        <w:ind w:leftChars="0"/>
        <w:textAlignment w:val="auto"/>
        <w:rPr>
          <w:rFonts w:hint="eastAsia" w:ascii="宋体" w:hAnsi="宋体" w:eastAsia="宋体" w:cs="宋体"/>
          <w:b/>
          <w:sz w:val="21"/>
          <w:szCs w:val="21"/>
          <w:highlight w:val="none"/>
        </w:rPr>
      </w:pPr>
      <w:bookmarkStart w:id="68" w:name="_Toc152042331"/>
      <w:bookmarkStart w:id="69" w:name="_Toc152045555"/>
      <w:bookmarkStart w:id="70" w:name="_Toc144974523"/>
      <w:bookmarkStart w:id="71" w:name="_Toc179632573"/>
      <w:r>
        <w:rPr>
          <w:rFonts w:hint="eastAsia" w:ascii="宋体" w:hAnsi="宋体" w:eastAsia="宋体" w:cs="宋体"/>
          <w:b/>
          <w:sz w:val="21"/>
          <w:szCs w:val="21"/>
          <w:highlight w:val="none"/>
        </w:rPr>
        <w:t>4. 投标</w:t>
      </w:r>
      <w:bookmarkEnd w:id="68"/>
      <w:bookmarkEnd w:id="69"/>
      <w:bookmarkEnd w:id="70"/>
      <w:bookmarkEnd w:id="71"/>
    </w:p>
    <w:p w14:paraId="39CF1208">
      <w:pPr>
        <w:keepNext w:val="0"/>
        <w:keepLines w:val="0"/>
        <w:pageBreakBefore w:val="0"/>
        <w:widowControl w:val="0"/>
        <w:kinsoku/>
        <w:wordWrap/>
        <w:overflowPunct/>
        <w:topLinePunct w:val="0"/>
        <w:autoSpaceDE/>
        <w:autoSpaceDN/>
        <w:bidi w:val="0"/>
        <w:adjustRightInd w:val="0"/>
        <w:snapToGrid w:val="0"/>
        <w:spacing w:line="400" w:lineRule="exact"/>
        <w:ind w:left="377"/>
        <w:jc w:val="both"/>
        <w:textAlignment w:val="auto"/>
        <w:outlineLvl w:val="9"/>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pPr>
      <w:bookmarkStart w:id="72" w:name="_Toc179632578"/>
      <w:bookmarkStart w:id="73" w:name="_Toc152045560"/>
      <w:bookmarkStart w:id="74" w:name="_Toc144974528"/>
      <w:bookmarkStart w:id="75" w:name="_Toc152042336"/>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4.1投标文件的密封和标记</w:t>
      </w:r>
    </w:p>
    <w:p w14:paraId="76CEF96C">
      <w:pPr>
        <w:keepNext w:val="0"/>
        <w:keepLines w:val="0"/>
        <w:pageBreakBefore w:val="0"/>
        <w:widowControl w:val="0"/>
        <w:kinsoku/>
        <w:wordWrap/>
        <w:overflowPunct/>
        <w:topLinePunct w:val="0"/>
        <w:autoSpaceDE/>
        <w:autoSpaceDN/>
        <w:bidi w:val="0"/>
        <w:adjustRightInd w:val="0"/>
        <w:snapToGrid w:val="0"/>
        <w:spacing w:line="400" w:lineRule="exact"/>
        <w:ind w:left="397" w:right="61" w:hanging="2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4.1.1投标文件的密封、标记和电子投标加密要求见投标人须知</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前附表。</w:t>
      </w:r>
    </w:p>
    <w:p w14:paraId="3DA6FFFD">
      <w:pPr>
        <w:keepNext w:val="0"/>
        <w:keepLines w:val="0"/>
        <w:pageBreakBefore w:val="0"/>
        <w:widowControl w:val="0"/>
        <w:kinsoku/>
        <w:wordWrap/>
        <w:overflowPunct/>
        <w:topLinePunct w:val="0"/>
        <w:autoSpaceDE/>
        <w:autoSpaceDN/>
        <w:bidi w:val="0"/>
        <w:adjustRightInd w:val="0"/>
        <w:snapToGrid w:val="0"/>
        <w:spacing w:line="400" w:lineRule="exact"/>
        <w:ind w:left="397" w:right="61" w:hanging="20"/>
        <w:jc w:val="both"/>
        <w:textAlignment w:val="auto"/>
        <w:outlineLvl w:val="9"/>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4.2投标文件的递交</w:t>
      </w:r>
    </w:p>
    <w:p w14:paraId="5E4C5AE7">
      <w:pPr>
        <w:keepNext w:val="0"/>
        <w:keepLines w:val="0"/>
        <w:pageBreakBefore w:val="0"/>
        <w:widowControl w:val="0"/>
        <w:kinsoku/>
        <w:wordWrap/>
        <w:overflowPunct/>
        <w:topLinePunct w:val="0"/>
        <w:autoSpaceDE/>
        <w:autoSpaceDN/>
        <w:bidi w:val="0"/>
        <w:adjustRightInd w:val="0"/>
        <w:snapToGrid w:val="0"/>
        <w:spacing w:line="400" w:lineRule="exact"/>
        <w:ind w:left="37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4.2.1投标人应在投标人须知前附表2.2.2规定的投标截止时间前递交投标文件。</w:t>
      </w:r>
    </w:p>
    <w:p w14:paraId="0C7BB294">
      <w:pPr>
        <w:keepNext w:val="0"/>
        <w:keepLines w:val="0"/>
        <w:pageBreakBefore w:val="0"/>
        <w:widowControl w:val="0"/>
        <w:kinsoku/>
        <w:wordWrap/>
        <w:overflowPunct/>
        <w:topLinePunct w:val="0"/>
        <w:autoSpaceDE/>
        <w:autoSpaceDN/>
        <w:bidi w:val="0"/>
        <w:adjustRightInd w:val="0"/>
        <w:snapToGrid w:val="0"/>
        <w:spacing w:line="400" w:lineRule="exact"/>
        <w:ind w:left="397" w:right="61" w:hanging="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4.2.2投标人递交投标文件的地点：见投标人须知前附表。投标人通过下载招标文件的电子招标投标交易平台递交电子投标文件。</w:t>
      </w:r>
    </w:p>
    <w:p w14:paraId="0B7FCC01">
      <w:pPr>
        <w:keepNext w:val="0"/>
        <w:keepLines w:val="0"/>
        <w:pageBreakBefore w:val="0"/>
        <w:widowControl w:val="0"/>
        <w:kinsoku/>
        <w:wordWrap/>
        <w:overflowPunct/>
        <w:topLinePunct w:val="0"/>
        <w:autoSpaceDE/>
        <w:autoSpaceDN/>
        <w:bidi w:val="0"/>
        <w:adjustRightInd w:val="0"/>
        <w:snapToGrid w:val="0"/>
        <w:spacing w:line="400" w:lineRule="exact"/>
        <w:ind w:left="37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4.2.3除投标人须知前附表另有规定外，投标人所递交的投标文件不予退还。</w:t>
      </w:r>
    </w:p>
    <w:p w14:paraId="2810830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4.2.4投标人完成电子投标文件上传后，电子招标投标交易平台即时向投标人发出递交回执通知。递交时间以递交回执通知载明的传输完成时间为准。</w:t>
      </w:r>
    </w:p>
    <w:p w14:paraId="050B8F26">
      <w:pPr>
        <w:keepNext w:val="0"/>
        <w:keepLines w:val="0"/>
        <w:pageBreakBefore w:val="0"/>
        <w:widowControl w:val="0"/>
        <w:kinsoku/>
        <w:wordWrap/>
        <w:overflowPunct/>
        <w:topLinePunct w:val="0"/>
        <w:autoSpaceDE/>
        <w:autoSpaceDN/>
        <w:bidi w:val="0"/>
        <w:adjustRightInd w:val="0"/>
        <w:snapToGrid w:val="0"/>
        <w:spacing w:line="400" w:lineRule="exact"/>
        <w:ind w:left="377" w:right="359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4.2.5投标文件的拒收情形：见投标须知前</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附表。</w:t>
      </w:r>
    </w:p>
    <w:p w14:paraId="53B775ED">
      <w:pPr>
        <w:keepNext w:val="0"/>
        <w:keepLines w:val="0"/>
        <w:pageBreakBefore w:val="0"/>
        <w:widowControl w:val="0"/>
        <w:kinsoku/>
        <w:wordWrap/>
        <w:overflowPunct/>
        <w:topLinePunct w:val="0"/>
        <w:autoSpaceDE/>
        <w:autoSpaceDN/>
        <w:bidi w:val="0"/>
        <w:adjustRightInd w:val="0"/>
        <w:snapToGrid w:val="0"/>
        <w:spacing w:line="400" w:lineRule="exact"/>
        <w:ind w:left="377" w:right="3598"/>
        <w:jc w:val="both"/>
        <w:textAlignment w:val="auto"/>
        <w:outlineLvl w:val="9"/>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4.3投标文件的修改与撤回</w:t>
      </w:r>
    </w:p>
    <w:p w14:paraId="3D245B0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4.3.1在本章第4.2.1规定的投标截止时间前，投标人可以修改或撤回已递交的投标文件，但应以书面形式通知招标人。</w:t>
      </w:r>
    </w:p>
    <w:p w14:paraId="0D8CB09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4.3.2投标人修改或撤回已递交投标文件的通知，应按照本章第3.7.3的要求加盖电子印章。电子招标投标交易平台收到通知后，即时向投标人发出确认回执通知。</w:t>
      </w:r>
    </w:p>
    <w:p w14:paraId="136783F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4.3.3投标人撤回投标文件的，招标人自收到投标人书面撤回通知之日起5日内退还已收取的投标担保。</w:t>
      </w:r>
    </w:p>
    <w:p w14:paraId="3C6F2A3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4.3.4修改的内容为投标文件的组成部分。修改的投标文件应按照本章第3条、第4条的规定进行编制、密封、标记和递交，并标明“修改 ”字样。</w:t>
      </w:r>
    </w:p>
    <w:p w14:paraId="59D5A5CA">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bookmarkStart w:id="76" w:name="bookmark53"/>
      <w:bookmarkEnd w:id="76"/>
      <w:bookmarkStart w:id="77" w:name="_Toc22828072"/>
      <w:bookmarkStart w:id="78" w:name="_Toc21471"/>
      <w:bookmarkStart w:id="79" w:name="_Toc45697236"/>
      <w:r>
        <w:rPr>
          <w:rFonts w:hint="eastAsia" w:ascii="宋体" w:hAnsi="宋体" w:eastAsia="宋体" w:cs="宋体"/>
          <w:b/>
          <w:color w:val="auto"/>
          <w:sz w:val="21"/>
          <w:szCs w:val="21"/>
          <w:highlight w:val="none"/>
        </w:rPr>
        <w:t>5.开标</w:t>
      </w:r>
      <w:bookmarkEnd w:id="77"/>
      <w:bookmarkEnd w:id="78"/>
      <w:bookmarkEnd w:id="79"/>
    </w:p>
    <w:bookmarkEnd w:id="72"/>
    <w:bookmarkEnd w:id="73"/>
    <w:bookmarkEnd w:id="74"/>
    <w:bookmarkEnd w:id="75"/>
    <w:p w14:paraId="0A1F7F3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5.1</w:t>
      </w:r>
      <w:r>
        <w:rPr>
          <w:rFonts w:hint="eastAsia" w:ascii="宋体" w:hAnsi="宋体" w:eastAsia="宋体" w:cs="宋体"/>
          <w:b/>
          <w:color w:val="auto"/>
          <w:sz w:val="21"/>
          <w:szCs w:val="21"/>
          <w:highlight w:val="none"/>
        </w:rPr>
        <w:t>开标时间和地点</w:t>
      </w:r>
    </w:p>
    <w:p w14:paraId="240C32B7">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5549CF7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jc w:val="both"/>
        <w:textAlignment w:val="auto"/>
        <w:rPr>
          <w:rFonts w:hint="eastAsia" w:ascii="宋体" w:hAnsi="宋体" w:eastAsia="宋体" w:cs="宋体"/>
          <w:b/>
          <w:color w:val="auto"/>
          <w:sz w:val="21"/>
          <w:szCs w:val="21"/>
          <w:highlight w:val="none"/>
        </w:rPr>
      </w:pPr>
      <w:bookmarkStart w:id="80" w:name="bookmark55"/>
      <w:bookmarkEnd w:id="80"/>
      <w:bookmarkStart w:id="81" w:name="bookmark56"/>
      <w:bookmarkEnd w:id="81"/>
      <w:r>
        <w:rPr>
          <w:rFonts w:hint="eastAsia" w:ascii="宋体" w:hAnsi="宋体" w:cs="宋体"/>
          <w:b/>
          <w:color w:val="auto"/>
          <w:sz w:val="21"/>
          <w:szCs w:val="21"/>
          <w:highlight w:val="none"/>
          <w:lang w:val="en-US" w:eastAsia="zh-CN"/>
        </w:rPr>
        <w:t>5.2</w:t>
      </w:r>
      <w:r>
        <w:rPr>
          <w:rFonts w:hint="eastAsia" w:ascii="宋体" w:hAnsi="宋体" w:eastAsia="宋体" w:cs="宋体"/>
          <w:b/>
          <w:color w:val="auto"/>
          <w:sz w:val="21"/>
          <w:szCs w:val="21"/>
          <w:highlight w:val="none"/>
        </w:rPr>
        <w:t>开标程序</w:t>
      </w:r>
    </w:p>
    <w:p w14:paraId="32DC5369">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见投标人须知前附表。</w:t>
      </w:r>
    </w:p>
    <w:p w14:paraId="65F0B21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jc w:val="both"/>
        <w:textAlignment w:val="auto"/>
        <w:rPr>
          <w:rFonts w:hint="eastAsia" w:ascii="宋体" w:hAnsi="宋体" w:eastAsia="宋体" w:cs="宋体"/>
          <w:b/>
          <w:color w:val="auto"/>
          <w:sz w:val="21"/>
          <w:szCs w:val="21"/>
          <w:highlight w:val="none"/>
        </w:rPr>
      </w:pPr>
      <w:bookmarkStart w:id="82" w:name="bookmark57"/>
      <w:bookmarkEnd w:id="82"/>
      <w:r>
        <w:rPr>
          <w:rFonts w:hint="eastAsia" w:ascii="宋体" w:hAnsi="宋体" w:cs="宋体"/>
          <w:b/>
          <w:color w:val="auto"/>
          <w:sz w:val="21"/>
          <w:szCs w:val="21"/>
          <w:highlight w:val="none"/>
          <w:lang w:val="en-US" w:eastAsia="zh-CN"/>
        </w:rPr>
        <w:t>5.3</w:t>
      </w:r>
      <w:r>
        <w:rPr>
          <w:rFonts w:hint="eastAsia" w:ascii="宋体" w:hAnsi="宋体" w:eastAsia="宋体" w:cs="宋体"/>
          <w:b/>
          <w:color w:val="auto"/>
          <w:sz w:val="21"/>
          <w:szCs w:val="21"/>
          <w:highlight w:val="none"/>
        </w:rPr>
        <w:t>开标异议</w:t>
      </w:r>
    </w:p>
    <w:p w14:paraId="4DAA843E">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pacing w:val="-8"/>
          <w:sz w:val="21"/>
          <w:szCs w:val="21"/>
          <w:highlight w:val="none"/>
        </w:rPr>
      </w:pPr>
      <w:r>
        <w:rPr>
          <w:rFonts w:hint="eastAsia" w:ascii="宋体" w:hAnsi="宋体" w:eastAsia="宋体" w:cs="宋体"/>
          <w:color w:val="auto"/>
          <w:sz w:val="21"/>
          <w:szCs w:val="21"/>
          <w:highlight w:val="none"/>
        </w:rPr>
        <w:t>投</w:t>
      </w:r>
      <w:r>
        <w:rPr>
          <w:rFonts w:hint="eastAsia" w:ascii="宋体" w:hAnsi="宋体" w:eastAsia="宋体" w:cs="宋体"/>
          <w:color w:val="auto"/>
          <w:spacing w:val="-8"/>
          <w:sz w:val="21"/>
          <w:szCs w:val="21"/>
          <w:highlight w:val="none"/>
        </w:rPr>
        <w:t>标人对开标有异议的，应当在开标时提出，招标人当场作出答复，并制作记录。</w:t>
      </w:r>
    </w:p>
    <w:p w14:paraId="7286B350">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bookmarkStart w:id="83" w:name="bookmark58"/>
      <w:bookmarkEnd w:id="83"/>
      <w:r>
        <w:rPr>
          <w:rFonts w:hint="eastAsia" w:ascii="宋体" w:hAnsi="宋体" w:eastAsia="宋体" w:cs="宋体"/>
          <w:b/>
          <w:color w:val="auto"/>
          <w:sz w:val="21"/>
          <w:szCs w:val="21"/>
          <w:highlight w:val="none"/>
        </w:rPr>
        <w:t>6.</w:t>
      </w:r>
      <w:bookmarkStart w:id="84" w:name="_Toc6578"/>
      <w:bookmarkStart w:id="85" w:name="_Toc22828073"/>
      <w:bookmarkStart w:id="86" w:name="_Toc45697237"/>
      <w:r>
        <w:rPr>
          <w:rFonts w:hint="eastAsia" w:ascii="宋体" w:hAnsi="宋体" w:eastAsia="宋体" w:cs="宋体"/>
          <w:b/>
          <w:color w:val="auto"/>
          <w:sz w:val="21"/>
          <w:szCs w:val="21"/>
          <w:highlight w:val="none"/>
        </w:rPr>
        <w:t>评标</w:t>
      </w:r>
      <w:bookmarkEnd w:id="84"/>
      <w:bookmarkEnd w:id="85"/>
      <w:bookmarkEnd w:id="86"/>
    </w:p>
    <w:p w14:paraId="1A168CEE">
      <w:pPr>
        <w:keepNext w:val="0"/>
        <w:keepLines w:val="0"/>
        <w:pageBreakBefore w:val="0"/>
        <w:widowControl w:val="0"/>
        <w:numPr>
          <w:ilvl w:val="0"/>
          <w:numId w:val="0"/>
        </w:numPr>
        <w:kinsoku/>
        <w:overflowPunct/>
        <w:topLinePunct w:val="0"/>
        <w:autoSpaceDE/>
        <w:autoSpaceDN/>
        <w:bidi w:val="0"/>
        <w:adjustRightInd/>
        <w:snapToGrid/>
        <w:spacing w:line="400" w:lineRule="exact"/>
        <w:ind w:firstLine="422" w:firstLineChars="200"/>
        <w:jc w:val="both"/>
        <w:textAlignment w:val="auto"/>
        <w:rPr>
          <w:rFonts w:hint="eastAsia" w:ascii="宋体" w:hAnsi="宋体" w:eastAsia="宋体" w:cs="宋体"/>
          <w:b/>
          <w:color w:val="auto"/>
          <w:sz w:val="21"/>
          <w:szCs w:val="21"/>
          <w:highlight w:val="none"/>
        </w:rPr>
      </w:pPr>
      <w:bookmarkStart w:id="87" w:name="bookmark59"/>
      <w:bookmarkEnd w:id="87"/>
      <w:r>
        <w:rPr>
          <w:rFonts w:hint="eastAsia" w:ascii="宋体" w:hAnsi="宋体" w:cs="宋体"/>
          <w:b/>
          <w:color w:val="auto"/>
          <w:sz w:val="21"/>
          <w:szCs w:val="21"/>
          <w:highlight w:val="none"/>
          <w:lang w:val="en-US" w:eastAsia="zh-CN"/>
        </w:rPr>
        <w:t>6.1</w:t>
      </w:r>
      <w:r>
        <w:rPr>
          <w:rFonts w:hint="eastAsia" w:ascii="宋体" w:hAnsi="宋体" w:eastAsia="宋体" w:cs="宋体"/>
          <w:b/>
          <w:color w:val="auto"/>
          <w:sz w:val="21"/>
          <w:szCs w:val="21"/>
          <w:highlight w:val="none"/>
        </w:rPr>
        <w:t>评标委员会</w:t>
      </w:r>
    </w:p>
    <w:p w14:paraId="0B82E729">
      <w:pPr>
        <w:pStyle w:val="10"/>
        <w:keepNext w:val="0"/>
        <w:keepLines w:val="0"/>
        <w:pageBreakBefore w:val="0"/>
        <w:widowControl w:val="0"/>
        <w:kinsoku/>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r>
        <w:rPr>
          <w:rFonts w:hint="eastAsia" w:ascii="宋体" w:hAnsi="宋体" w:eastAsia="宋体" w:cs="宋体"/>
          <w:color w:val="auto"/>
          <w:spacing w:val="-4"/>
          <w:sz w:val="21"/>
          <w:szCs w:val="21"/>
          <w:highlight w:val="none"/>
        </w:rPr>
        <w:t>评标由招标人依法组建的评标委员会负责。评标委员会由招标人或其委托的招标代理</w:t>
      </w:r>
      <w:r>
        <w:rPr>
          <w:rFonts w:hint="eastAsia" w:ascii="宋体" w:hAnsi="宋体" w:eastAsia="宋体" w:cs="宋体"/>
          <w:color w:val="auto"/>
          <w:spacing w:val="-1"/>
          <w:sz w:val="21"/>
          <w:szCs w:val="21"/>
          <w:highlight w:val="none"/>
        </w:rPr>
        <w:t>机构熟悉相关业务的代表，以及有关技术、经济等方面的专家组成。评标委员会成员人数以及</w:t>
      </w:r>
      <w:r>
        <w:rPr>
          <w:rFonts w:hint="eastAsia" w:ascii="宋体" w:hAnsi="宋体" w:eastAsia="宋体" w:cs="宋体"/>
          <w:color w:val="auto"/>
          <w:sz w:val="21"/>
          <w:szCs w:val="21"/>
          <w:highlight w:val="none"/>
        </w:rPr>
        <w:t>技术、经济等方面专家的确定方式见投标人须知前附表。</w:t>
      </w:r>
      <w:bookmarkStart w:id="88" w:name="bookmark60"/>
      <w:bookmarkEnd w:id="88"/>
    </w:p>
    <w:p w14:paraId="2BFCCE5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6.1.2 评标委员会成员有下列情形之一的，应当回避：</w:t>
      </w:r>
    </w:p>
    <w:p w14:paraId="1E53473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 投标人或投标人主要负责人的近亲属；</w:t>
      </w:r>
    </w:p>
    <w:p w14:paraId="35FBAEE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 项目主管部门或者行政监督部门的人员；</w:t>
      </w:r>
    </w:p>
    <w:p w14:paraId="2C4188E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 与投标人有经济利益关系，可能影响对投标公正评审的；</w:t>
      </w:r>
    </w:p>
    <w:p w14:paraId="795B808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 曾因在招标、评标以及其他与招标投标有关活动中从事违法行为而受过行政处罚或刑事处罚的。</w:t>
      </w:r>
    </w:p>
    <w:p w14:paraId="6A9A89D4">
      <w:pPr>
        <w:pStyle w:val="10"/>
        <w:keepNext w:val="0"/>
        <w:keepLines w:val="0"/>
        <w:pageBreakBefore w:val="0"/>
        <w:widowControl w:val="0"/>
        <w:kinsoku/>
        <w:overflowPunct/>
        <w:topLinePunct w:val="0"/>
        <w:autoSpaceDE/>
        <w:autoSpaceDN/>
        <w:bidi w:val="0"/>
        <w:adjustRightInd/>
        <w:snapToGrid/>
        <w:spacing w:after="0" w:afterLines="0" w:line="400" w:lineRule="exact"/>
        <w:ind w:left="0"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6.2</w:t>
      </w:r>
      <w:r>
        <w:rPr>
          <w:rFonts w:hint="eastAsia" w:ascii="宋体" w:hAnsi="宋体" w:eastAsia="宋体" w:cs="宋体"/>
          <w:b/>
          <w:color w:val="auto"/>
          <w:sz w:val="21"/>
          <w:szCs w:val="21"/>
          <w:highlight w:val="none"/>
        </w:rPr>
        <w:t>评标原则</w:t>
      </w:r>
    </w:p>
    <w:p w14:paraId="3F4A81E8">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bookmarkStart w:id="89" w:name="bookmark61"/>
      <w:bookmarkEnd w:id="89"/>
    </w:p>
    <w:p w14:paraId="6CC85AA1">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6.3</w:t>
      </w:r>
      <w:r>
        <w:rPr>
          <w:rFonts w:hint="eastAsia" w:ascii="宋体" w:hAnsi="宋体" w:eastAsia="宋体" w:cs="宋体"/>
          <w:b/>
          <w:color w:val="auto"/>
          <w:sz w:val="21"/>
          <w:szCs w:val="21"/>
          <w:highlight w:val="none"/>
        </w:rPr>
        <w:t>评标</w:t>
      </w:r>
    </w:p>
    <w:p w14:paraId="7C025AB2">
      <w:pPr>
        <w:pStyle w:val="10"/>
        <w:keepNext w:val="0"/>
        <w:keepLines w:val="0"/>
        <w:pageBreakBefore w:val="0"/>
        <w:widowControl w:val="0"/>
        <w:kinsoku/>
        <w:wordWrap/>
        <w:overflowPunct/>
        <w:topLinePunct w:val="0"/>
        <w:autoSpaceDE/>
        <w:autoSpaceDN/>
        <w:bidi w:val="0"/>
        <w:adjustRightInd/>
        <w:snapToGrid/>
        <w:spacing w:after="0" w:afterLines="0" w:line="40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6.3.1评标委员会按照第三章“评标办法”规定的方法、评审因素、标准和程序对投标文件进行评审。第三章“评标办法”没有规定的方法、评审因素和标准，不作为评标依据。</w:t>
      </w:r>
    </w:p>
    <w:p w14:paraId="285489B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90" w:name="bookmark62"/>
      <w:bookmarkEnd w:id="90"/>
      <w:bookmarkStart w:id="91" w:name="_Toc22898"/>
      <w:bookmarkStart w:id="92" w:name="_Toc45697238"/>
      <w:bookmarkStart w:id="93" w:name="_Toc22828074"/>
      <w:r>
        <w:rPr>
          <w:rFonts w:hint="eastAsia" w:ascii="宋体" w:hAnsi="宋体" w:eastAsia="宋体" w:cs="宋体"/>
          <w:i w:val="0"/>
          <w:iCs w:val="0"/>
          <w:color w:val="000000" w:themeColor="text1"/>
          <w:spacing w:val="0"/>
          <w:sz w:val="21"/>
          <w:szCs w:val="21"/>
          <w:highlight w:val="none"/>
          <w14:textFill>
            <w14:solidFill>
              <w14:schemeClr w14:val="tx1"/>
            </w14:solidFill>
          </w14:textFill>
        </w:rPr>
        <w:t>6.3.2 评标委员会推荐中标候选人的人数和是否排序见投标人须知前附表。</w:t>
      </w:r>
    </w:p>
    <w:p w14:paraId="08817F73">
      <w:pPr>
        <w:keepNext w:val="0"/>
        <w:keepLines w:val="0"/>
        <w:pageBreakBefore w:val="0"/>
        <w:widowControl w:val="0"/>
        <w:kinsoku/>
        <w:wordWrap/>
        <w:overflowPunct/>
        <w:topLinePunct w:val="0"/>
        <w:autoSpaceDE/>
        <w:autoSpaceDN/>
        <w:bidi w:val="0"/>
        <w:adjustRightInd w:val="0"/>
        <w:snapToGrid w:val="0"/>
        <w:spacing w:line="400" w:lineRule="exact"/>
        <w:ind w:left="4" w:right="94" w:firstLine="349"/>
        <w:jc w:val="both"/>
        <w:textAlignment w:val="auto"/>
        <w:outlineLvl w:val="9"/>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6.4中标候选人公示</w:t>
      </w:r>
    </w:p>
    <w:p w14:paraId="64086A4C">
      <w:pPr>
        <w:keepNext w:val="0"/>
        <w:keepLines w:val="0"/>
        <w:pageBreakBefore w:val="0"/>
        <w:widowControl w:val="0"/>
        <w:kinsoku/>
        <w:wordWrap/>
        <w:overflowPunct/>
        <w:topLinePunct w:val="0"/>
        <w:autoSpaceDE/>
        <w:autoSpaceDN/>
        <w:bidi w:val="0"/>
        <w:adjustRightInd w:val="0"/>
        <w:snapToGrid w:val="0"/>
        <w:spacing w:line="400" w:lineRule="exact"/>
        <w:ind w:left="4" w:right="94" w:firstLine="349"/>
        <w:jc w:val="both"/>
        <w:textAlignment w:val="auto"/>
        <w:outlineLvl w:val="9"/>
        <w:rPr>
          <w:rFonts w:hint="eastAsia" w:ascii="宋体" w:hAnsi="宋体" w:eastAsia="宋体" w:cs="宋体"/>
          <w:b/>
          <w:color w:val="auto"/>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招标人自收到评标报告之日起3日内公示中标候选人，公示期不少于3日，公示媒介详见投标人须知前附表。</w:t>
      </w:r>
    </w:p>
    <w:p w14:paraId="33D816F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7.合同授予</w:t>
      </w:r>
      <w:bookmarkEnd w:id="91"/>
      <w:bookmarkEnd w:id="92"/>
      <w:bookmarkEnd w:id="93"/>
    </w:p>
    <w:p w14:paraId="4AB4AAF9">
      <w:pPr>
        <w:keepNext w:val="0"/>
        <w:keepLines w:val="0"/>
        <w:pageBreakBefore w:val="0"/>
        <w:widowControl w:val="0"/>
        <w:kinsoku/>
        <w:wordWrap/>
        <w:overflowPunct/>
        <w:topLinePunct w:val="0"/>
        <w:autoSpaceDE/>
        <w:autoSpaceDN/>
        <w:bidi w:val="0"/>
        <w:adjustRightInd w:val="0"/>
        <w:snapToGrid w:val="0"/>
        <w:spacing w:line="400" w:lineRule="exact"/>
        <w:ind w:left="4" w:right="94" w:firstLine="34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94" w:name="bookmark67"/>
      <w:bookmarkEnd w:id="94"/>
      <w:bookmarkStart w:id="95" w:name="_Toc144974536"/>
      <w:bookmarkStart w:id="96" w:name="_Toc152045568"/>
      <w:bookmarkStart w:id="97" w:name="_Toc152042344"/>
      <w:bookmarkStart w:id="98" w:name="_Toc179632586"/>
      <w:r>
        <w:rPr>
          <w:rFonts w:hint="eastAsia" w:ascii="宋体" w:hAnsi="宋体" w:cs="宋体"/>
          <w:b/>
          <w:color w:val="auto"/>
          <w:sz w:val="21"/>
          <w:szCs w:val="21"/>
          <w:highlight w:val="none"/>
          <w:lang w:val="en-US" w:eastAsia="zh-CN"/>
        </w:rPr>
        <w:t>7.1定标方式</w:t>
      </w:r>
    </w:p>
    <w:p w14:paraId="7BEA0BC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7.1.1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035E66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7.1.2 定标原则：招标人负责制、公开透明、诚信守约的原则。</w:t>
      </w:r>
    </w:p>
    <w:p w14:paraId="6138C6A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7.1.3定标会议时间和地点：招标人在投标须知前附表7.1.3规定的时间和地点召开定标会议，招标人的纪检监察部门应对招标投标活动的全过程进行监督。</w:t>
      </w:r>
    </w:p>
    <w:p w14:paraId="4E23378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7.1.4 招标人可在投标须知前附表7.1.3规定的时间前对所有中标候选人进行考察、质询。考察、质询小组应由投标须知前附表7.1.4规定的人数组成。考察、质询小组应如实记录考察、质询情况，并出具考察、质询报告作为定标要素之一。考察、质询报告应客观公正，不得有明示或暗示中标人的内容。</w:t>
      </w:r>
    </w:p>
    <w:p w14:paraId="2AAAD4C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7.1.5 定标委员会由招标人负责组建。定标委员会由投标须知前附表7.</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.5规定的人数组成。定标委员会成员与中标候选人有利害关系的应主动说明并申请回避，定标委员会名单在中标结果确定前保密。</w:t>
      </w:r>
    </w:p>
    <w:p w14:paraId="7D288AA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定标要素应参考评标委员会评标报告、质询或考察报告、现场面试情况，此外，还可以包含以下要素：</w:t>
      </w:r>
    </w:p>
    <w:p w14:paraId="3841ED7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（1）价格因素：主要包括商务报价高低、主要材料报价的合理性、不平衡报价情况等；</w:t>
      </w:r>
    </w:p>
    <w:p w14:paraId="45659B1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（2）企业实力：主要包括企业规模、资质等级、专业技术人员规模、近年的财务状况、过往业绩（含业绩影响力、难易程度）等；</w:t>
      </w:r>
    </w:p>
    <w:p w14:paraId="1CF75D5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157E7F2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（4）投标方案：主要包括技术标情况、工程建设重难点解决方案、主要材料品牌等；</w:t>
      </w:r>
    </w:p>
    <w:p w14:paraId="5997A54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（5）拟派团队能力与水平：主要包括团队主要负责人类似工程业绩、拟派项目团队人员的资信实力等；</w:t>
      </w:r>
    </w:p>
    <w:p w14:paraId="6B9E9F2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（6）联合体投标的，联合体组成情况；</w:t>
      </w:r>
    </w:p>
    <w:p w14:paraId="36CD130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（7）企业质量安全、无欠薪管理情况；</w:t>
      </w:r>
    </w:p>
    <w:p w14:paraId="56A9D44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（8）企业项目班组人员到岗履职等管理情况；</w:t>
      </w:r>
    </w:p>
    <w:p w14:paraId="22F7999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（9）工程保修维护等后续服务便利；</w:t>
      </w:r>
    </w:p>
    <w:p w14:paraId="3978233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（10）落实建筑业高质量发展政策；</w:t>
      </w:r>
    </w:p>
    <w:p w14:paraId="653EAF6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（11）落实政府其他政策；</w:t>
      </w:r>
    </w:p>
    <w:p w14:paraId="2505064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（12）招标人认为需要考量的其他因素。</w:t>
      </w:r>
    </w:p>
    <w:p w14:paraId="43E40B6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7.1.8定标方法可采用下列方法或者下列方法的组合：</w:t>
      </w:r>
    </w:p>
    <w:p w14:paraId="5B3BC9E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票决法。由定标委员会以直接票决或者逐轮票决的方式确定中标人。</w:t>
      </w:r>
    </w:p>
    <w:p w14:paraId="4D6DA58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集体议事法。由定标委员会进行集体商议，定标委员会成员各自发表意见，由定标委员会组长最终确定中标人。所有参加会议的定标委员会成员的意见应当作书面记录，并由定标委员会成员签字确认。</w:t>
      </w:r>
    </w:p>
    <w:p w14:paraId="091B386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投标须知前附表7.1.8规定的其他定标办法。</w:t>
      </w:r>
    </w:p>
    <w:p w14:paraId="4221AC2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7.1.9招标人应当将中标结果情况在投标须知前附表7.1.9规定的媒介上公告不少于3日。</w:t>
      </w:r>
    </w:p>
    <w:p w14:paraId="2A1AC53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7.1.10 定标后有下列情形之一的，招标人可以组织原定标委员会从其他中标候选人中按原定标方法确定中标人：</w:t>
      </w:r>
    </w:p>
    <w:p w14:paraId="52E1B62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中标人放弃中标资格或者拒不签订合同的；</w:t>
      </w:r>
    </w:p>
    <w:p w14:paraId="26BDF2C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中标人被查实存在违法行为影响中标结果的；</w:t>
      </w:r>
    </w:p>
    <w:p w14:paraId="236B890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投标须知前附表 7.1.10 规定的其他情形。</w:t>
      </w:r>
    </w:p>
    <w:p w14:paraId="3856F8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7.1.11 定标后有下列情形之一的，应重新定标：</w:t>
      </w:r>
    </w:p>
    <w:p w14:paraId="2FEA4F7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（1）查实定标委员会未按定标办法公正履职的；</w:t>
      </w:r>
    </w:p>
    <w:p w14:paraId="4651209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（2）有定标委员会成员与中标候选人有利害关系且未申请回避的；</w:t>
      </w:r>
    </w:p>
    <w:p w14:paraId="23A4C47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宋体" w:hAnsi="宋体" w:eastAsia="宋体" w:cs="宋体"/>
          <w:b/>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（3）投标须知前附表 7.1.11 规定的其他情形。</w:t>
      </w:r>
    </w:p>
    <w:p w14:paraId="4E96904A">
      <w:pPr>
        <w:pStyle w:val="47"/>
        <w:pageBreakBefore w:val="0"/>
        <w:widowControl w:val="0"/>
        <w:kinsoku/>
        <w:wordWrap/>
        <w:overflowPunct/>
        <w:topLinePunct w:val="0"/>
        <w:autoSpaceDE/>
        <w:autoSpaceDN/>
        <w:bidi w:val="0"/>
        <w:adjustRightInd/>
        <w:snapToGrid/>
        <w:spacing w:before="0" w:after="0" w:line="400" w:lineRule="exact"/>
        <w:ind w:lef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7.</w:t>
      </w:r>
      <w:r>
        <w:rPr>
          <w:rFonts w:hint="eastAsia" w:ascii="宋体" w:hAnsi="宋体" w:eastAsia="宋体" w:cs="宋体"/>
          <w:b/>
          <w:sz w:val="21"/>
          <w:szCs w:val="21"/>
          <w:highlight w:val="none"/>
          <w:lang w:val="en-US" w:eastAsia="zh-CN"/>
        </w:rPr>
        <w:t>2</w:t>
      </w:r>
      <w:r>
        <w:rPr>
          <w:rFonts w:hint="eastAsia" w:ascii="宋体" w:hAnsi="宋体" w:eastAsia="宋体" w:cs="宋体"/>
          <w:b/>
          <w:sz w:val="21"/>
          <w:szCs w:val="21"/>
          <w:highlight w:val="none"/>
        </w:rPr>
        <w:t>中标通知</w:t>
      </w:r>
      <w:bookmarkEnd w:id="95"/>
      <w:bookmarkEnd w:id="96"/>
      <w:bookmarkEnd w:id="97"/>
      <w:bookmarkEnd w:id="98"/>
    </w:p>
    <w:p w14:paraId="0915ECF8">
      <w:pPr>
        <w:keepNext w:val="0"/>
        <w:keepLines w:val="0"/>
        <w:pageBreakBefore w:val="0"/>
        <w:widowControl w:val="0"/>
        <w:kinsoku/>
        <w:wordWrap w:val="0"/>
        <w:overflowPunct/>
        <w:topLinePunct/>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color w:val="000000" w:themeColor="text1"/>
          <w:highlight w:val="none"/>
          <w14:textFill>
            <w14:solidFill>
              <w14:schemeClr w14:val="tx1"/>
            </w14:solidFill>
          </w14:textFill>
        </w:rPr>
      </w:pPr>
      <w:bookmarkStart w:id="99" w:name="_Toc152045569"/>
      <w:bookmarkStart w:id="100" w:name="_Toc152042345"/>
      <w:bookmarkStart w:id="101" w:name="_Toc179632587"/>
      <w:bookmarkStart w:id="102" w:name="_Toc144974537"/>
      <w:r>
        <w:rPr>
          <w:rFonts w:hint="eastAsia" w:ascii="宋体" w:hAnsi="宋体" w:eastAsia="宋体" w:cs="宋体"/>
          <w:color w:val="000000" w:themeColor="text1"/>
          <w:highlight w:val="none"/>
          <w14:textFill>
            <w14:solidFill>
              <w14:schemeClr w14:val="tx1"/>
            </w14:solidFill>
          </w14:textFill>
        </w:rPr>
        <w:t>在本章第3.3款规定的投标有效期内，</w:t>
      </w:r>
      <w:r>
        <w:rPr>
          <w:rFonts w:hint="eastAsia" w:ascii="宋体" w:hAnsi="宋体" w:eastAsia="宋体" w:cs="宋体"/>
          <w:color w:val="000000" w:themeColor="text1"/>
          <w:highlight w:val="none"/>
          <w:lang w:val="en-US" w:eastAsia="zh-CN"/>
          <w14:textFill>
            <w14:solidFill>
              <w14:schemeClr w14:val="tx1"/>
            </w14:solidFill>
          </w14:textFill>
        </w:rPr>
        <w:t>通过</w:t>
      </w:r>
      <w:r>
        <w:rPr>
          <w:rFonts w:hint="eastAsia" w:ascii="宋体" w:hAnsi="宋体" w:eastAsia="宋体" w:cs="宋体"/>
          <w:color w:val="000000" w:themeColor="text1"/>
          <w:highlight w:val="none"/>
          <w:u w:val="single"/>
          <w14:textFill>
            <w14:solidFill>
              <w14:schemeClr w14:val="tx1"/>
            </w14:solidFill>
          </w14:textFill>
        </w:rPr>
        <w:t>衢州市公共资源电子交易系统（</w:t>
      </w:r>
      <w:r>
        <w:rPr>
          <w:rFonts w:hint="eastAsia" w:ascii="宋体" w:hAnsi="宋体" w:eastAsia="宋体" w:cs="宋体"/>
          <w:color w:val="000000" w:themeColor="text1"/>
          <w:szCs w:val="21"/>
          <w:highlight w:val="none"/>
          <w:u w:val="single"/>
          <w14:textFill>
            <w14:solidFill>
              <w14:schemeClr w14:val="tx1"/>
            </w14:solidFill>
          </w14:textFill>
        </w:rPr>
        <w:t>https://jyzx.ggzy.qz.gov.cn/TPBidder/login</w:t>
      </w:r>
      <w:r>
        <w:rPr>
          <w:rFonts w:hint="eastAsia" w:ascii="宋体" w:hAnsi="宋体" w:eastAsia="宋体" w:cs="宋体"/>
          <w:color w:val="000000" w:themeColor="text1"/>
          <w:highlight w:val="none"/>
          <w:u w:val="singl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制作并发放中标通知书，</w:t>
      </w:r>
      <w:r>
        <w:rPr>
          <w:rFonts w:hint="eastAsia" w:ascii="宋体" w:hAnsi="宋体" w:eastAsia="宋体" w:cs="宋体"/>
          <w:color w:val="000000" w:themeColor="text1"/>
          <w:highlight w:val="none"/>
          <w14:textFill>
            <w14:solidFill>
              <w14:schemeClr w14:val="tx1"/>
            </w14:solidFill>
          </w14:textFill>
        </w:rPr>
        <w:t>同时将中标结果通知未中标的投标人。</w:t>
      </w:r>
    </w:p>
    <w:p w14:paraId="638F3BCB">
      <w:pPr>
        <w:pStyle w:val="47"/>
        <w:pageBreakBefore w:val="0"/>
        <w:widowControl w:val="0"/>
        <w:kinsoku/>
        <w:overflowPunct/>
        <w:autoSpaceDE/>
        <w:autoSpaceDN/>
        <w:bidi w:val="0"/>
        <w:adjustRightInd/>
        <w:snapToGrid/>
        <w:spacing w:before="0" w:after="0" w:line="400" w:lineRule="exact"/>
        <w:ind w:lef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7.</w:t>
      </w:r>
      <w:r>
        <w:rPr>
          <w:rFonts w:hint="eastAsia" w:ascii="宋体" w:hAnsi="宋体" w:eastAsia="宋体" w:cs="宋体"/>
          <w:b/>
          <w:sz w:val="21"/>
          <w:szCs w:val="21"/>
          <w:highlight w:val="none"/>
          <w:lang w:val="en-US" w:eastAsia="zh-CN"/>
        </w:rPr>
        <w:t>3</w:t>
      </w:r>
      <w:r>
        <w:rPr>
          <w:rFonts w:hint="eastAsia" w:ascii="宋体" w:hAnsi="宋体" w:eastAsia="宋体" w:cs="宋体"/>
          <w:b/>
          <w:sz w:val="21"/>
          <w:szCs w:val="21"/>
          <w:highlight w:val="none"/>
        </w:rPr>
        <w:t xml:space="preserve"> 履约担保</w:t>
      </w:r>
      <w:bookmarkEnd w:id="99"/>
      <w:bookmarkEnd w:id="100"/>
      <w:bookmarkEnd w:id="101"/>
      <w:bookmarkEnd w:id="102"/>
    </w:p>
    <w:p w14:paraId="56A15B34">
      <w:pPr>
        <w:keepNext w:val="0"/>
        <w:keepLines w:val="0"/>
        <w:pageBreakBefore w:val="0"/>
        <w:widowControl w:val="0"/>
        <w:kinsoku/>
        <w:wordWrap/>
        <w:overflowPunct/>
        <w:topLinePunct w:val="0"/>
        <w:autoSpaceDE/>
        <w:autoSpaceDN/>
        <w:bidi w:val="0"/>
        <w:adjustRightInd w:val="0"/>
        <w:snapToGrid w:val="0"/>
        <w:spacing w:line="400" w:lineRule="exact"/>
        <w:ind w:firstLine="36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7.3.1 在签订合同前，中标人应按投标人须知前附表规定的金额、形式向招标人递交履约保证金，并应符合招标文件第四章“合同条款及格式 ”规定的履约保证金要求。联合体中标的，其履约保证金由牵头人递交。招标人要求中标人提供履约担保的，招标人也应当同时向中标人提供工程款支付担保。</w:t>
      </w:r>
    </w:p>
    <w:p w14:paraId="708F4301">
      <w:pPr>
        <w:keepNext w:val="0"/>
        <w:keepLines w:val="0"/>
        <w:pageBreakBefore w:val="0"/>
        <w:widowControl w:val="0"/>
        <w:kinsoku/>
        <w:wordWrap/>
        <w:overflowPunct/>
        <w:topLinePunct w:val="0"/>
        <w:autoSpaceDE/>
        <w:autoSpaceDN/>
        <w:bidi w:val="0"/>
        <w:adjustRightInd w:val="0"/>
        <w:snapToGrid w:val="0"/>
        <w:spacing w:line="400" w:lineRule="exact"/>
        <w:ind w:firstLine="36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7.3.2 中标人不能按本章第7.3.1要求递交履约保证金的，视为放弃中标，其投标保证金不予退还，给招标人造成的损失超过投标保证金数额的，中标人还应当对超过部分予以赔偿。</w:t>
      </w:r>
    </w:p>
    <w:p w14:paraId="21165A17">
      <w:pPr>
        <w:keepNext w:val="0"/>
        <w:keepLines w:val="0"/>
        <w:pageBreakBefore w:val="0"/>
        <w:widowControl w:val="0"/>
        <w:numPr>
          <w:ilvl w:val="0"/>
          <w:numId w:val="0"/>
        </w:numPr>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签订合同</w:t>
      </w:r>
    </w:p>
    <w:p w14:paraId="68475E1C">
      <w:pPr>
        <w:keepNext w:val="0"/>
        <w:keepLines w:val="0"/>
        <w:pageBreakBefore w:val="0"/>
        <w:widowControl w:val="0"/>
        <w:kinsoku/>
        <w:wordWrap/>
        <w:overflowPunct/>
        <w:topLinePunct w:val="0"/>
        <w:autoSpaceDE/>
        <w:autoSpaceDN/>
        <w:bidi w:val="0"/>
        <w:adjustRightInd w:val="0"/>
        <w:snapToGrid w:val="0"/>
        <w:spacing w:line="400" w:lineRule="exact"/>
        <w:ind w:left="1" w:right="63" w:firstLine="35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103" w:name="bookmark71"/>
      <w:bookmarkEnd w:id="103"/>
      <w:bookmarkStart w:id="104" w:name="_Toc29433"/>
      <w:bookmarkStart w:id="105" w:name="_Toc45697239"/>
      <w:bookmarkStart w:id="106" w:name="_Toc494121485"/>
      <w:bookmarkStart w:id="107" w:name="_Toc22828075"/>
      <w:r>
        <w:rPr>
          <w:rFonts w:hint="eastAsia" w:ascii="宋体" w:hAnsi="宋体" w:eastAsia="宋体" w:cs="宋体"/>
          <w:i w:val="0"/>
          <w:iCs w:val="0"/>
          <w:color w:val="000000" w:themeColor="text1"/>
          <w:spacing w:val="0"/>
          <w:sz w:val="21"/>
          <w:szCs w:val="21"/>
          <w:highlight w:val="none"/>
          <w14:textFill>
            <w14:solidFill>
              <w14:schemeClr w14:val="tx1"/>
            </w14:solidFill>
          </w14:textFill>
        </w:rPr>
        <w:t>7.4.1 招标人和中标人应当自中标通知书发出之日起30日内，根据招标文件和中标人的投标文件订立合同。中标人无正当理由拒签合同的或在签订合同时向招标人提出附加条件的，招标人取消其中标资格，其投标保证金不予退还；给招标人造成的损失超过投标保证金数额的，中标人还应当对超过部分予以赔偿。</w:t>
      </w:r>
    </w:p>
    <w:p w14:paraId="7E4EF1A5">
      <w:pPr>
        <w:keepNext w:val="0"/>
        <w:keepLines w:val="0"/>
        <w:pageBreakBefore w:val="0"/>
        <w:widowControl w:val="0"/>
        <w:kinsoku/>
        <w:wordWrap/>
        <w:overflowPunct/>
        <w:topLinePunct w:val="0"/>
        <w:autoSpaceDE/>
        <w:autoSpaceDN/>
        <w:bidi w:val="0"/>
        <w:adjustRightInd w:val="0"/>
        <w:snapToGrid w:val="0"/>
        <w:spacing w:line="400" w:lineRule="exact"/>
        <w:ind w:left="1" w:right="63" w:firstLine="35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7.4.2 发出中标通知书后，招标人无正当理由拒签合同的，招标人向中标人退还投标保证金及银行同期存款利息；给中标人造成损失的，还应当赔偿损失。</w:t>
      </w:r>
    </w:p>
    <w:p w14:paraId="76A5BC84">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8.重新招标和不再招标</w:t>
      </w:r>
      <w:bookmarkEnd w:id="104"/>
      <w:bookmarkEnd w:id="105"/>
      <w:bookmarkEnd w:id="106"/>
    </w:p>
    <w:p w14:paraId="067A3EA5">
      <w:pPr>
        <w:keepNext w:val="0"/>
        <w:keepLines w:val="0"/>
        <w:pageBreakBefore w:val="0"/>
        <w:widowControl w:val="0"/>
        <w:numPr>
          <w:ilvl w:val="0"/>
          <w:numId w:val="0"/>
        </w:numPr>
        <w:kinsoku/>
        <w:overflowPunct/>
        <w:topLinePunct w:val="0"/>
        <w:autoSpaceDE/>
        <w:autoSpaceDN/>
        <w:bidi w:val="0"/>
        <w:adjustRightInd/>
        <w:snapToGrid/>
        <w:spacing w:line="400" w:lineRule="exact"/>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8.1</w:t>
      </w:r>
      <w:r>
        <w:rPr>
          <w:rFonts w:hint="eastAsia" w:ascii="宋体" w:hAnsi="宋体" w:eastAsia="宋体" w:cs="宋体"/>
          <w:b/>
          <w:color w:val="auto"/>
          <w:sz w:val="21"/>
          <w:szCs w:val="21"/>
          <w:highlight w:val="none"/>
        </w:rPr>
        <w:t>重新招标</w:t>
      </w:r>
    </w:p>
    <w:p w14:paraId="0959A8EE">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5F30AF8A">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5D2FA6DA">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45AF2CFD">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（3）其他情形</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须知前附表。</w:t>
      </w:r>
    </w:p>
    <w:p w14:paraId="7E1A3712">
      <w:pPr>
        <w:keepNext w:val="0"/>
        <w:keepLines w:val="0"/>
        <w:pageBreakBefore w:val="0"/>
        <w:widowControl w:val="0"/>
        <w:numPr>
          <w:ilvl w:val="0"/>
          <w:numId w:val="0"/>
        </w:numPr>
        <w:kinsoku/>
        <w:overflowPunct/>
        <w:topLinePunct w:val="0"/>
        <w:autoSpaceDE/>
        <w:autoSpaceDN/>
        <w:bidi w:val="0"/>
        <w:adjustRightInd/>
        <w:snapToGrid/>
        <w:spacing w:line="400" w:lineRule="exact"/>
        <w:ind w:firstLine="422" w:firstLineChars="200"/>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8.2</w:t>
      </w:r>
      <w:r>
        <w:rPr>
          <w:rFonts w:hint="eastAsia" w:ascii="宋体" w:hAnsi="宋体" w:eastAsia="宋体" w:cs="宋体"/>
          <w:b/>
          <w:color w:val="auto"/>
          <w:sz w:val="21"/>
          <w:szCs w:val="21"/>
          <w:highlight w:val="none"/>
        </w:rPr>
        <w:t>不再招标</w:t>
      </w:r>
    </w:p>
    <w:bookmarkEnd w:id="107"/>
    <w:p w14:paraId="06391713">
      <w:pPr>
        <w:keepNext w:val="0"/>
        <w:keepLines w:val="0"/>
        <w:pageBreakBefore w:val="0"/>
        <w:widowControl w:val="0"/>
        <w:kinsoku/>
        <w:wordWrap/>
        <w:overflowPunct/>
        <w:topLinePunct w:val="0"/>
        <w:autoSpaceDE/>
        <w:autoSpaceDN/>
        <w:bidi w:val="0"/>
        <w:adjustRightInd w:val="0"/>
        <w:snapToGrid w:val="0"/>
        <w:spacing w:line="400" w:lineRule="exact"/>
        <w:ind w:left="1" w:right="63" w:firstLine="35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bookmarkStart w:id="108" w:name="bookmark77"/>
      <w:bookmarkEnd w:id="108"/>
      <w:bookmarkStart w:id="109" w:name="_Toc45697240"/>
      <w:bookmarkStart w:id="110" w:name="_Toc494121486"/>
      <w:bookmarkStart w:id="111" w:name="_Toc14014"/>
      <w:bookmarkStart w:id="112" w:name="_Toc22828076"/>
      <w:r>
        <w:rPr>
          <w:rFonts w:hint="eastAsia" w:ascii="宋体" w:hAnsi="宋体" w:eastAsia="宋体" w:cs="宋体"/>
          <w:i w:val="0"/>
          <w:iCs w:val="0"/>
          <w:color w:val="000000" w:themeColor="text1"/>
          <w:spacing w:val="0"/>
          <w:sz w:val="21"/>
          <w:szCs w:val="21"/>
          <w:highlight w:val="none"/>
          <w14:textFill>
            <w14:solidFill>
              <w14:schemeClr w14:val="tx1"/>
            </w14:solidFill>
          </w14:textFill>
        </w:rPr>
        <w:t>重新招标后投标人仍少于3个或者所有投标被否决的，属于必须审批或核准的工程建设项目，经原审批或核准部门批准后可以不再进行招标。</w:t>
      </w:r>
    </w:p>
    <w:p w14:paraId="20D7E5CC">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9.纪律和监督</w:t>
      </w:r>
      <w:bookmarkEnd w:id="109"/>
      <w:bookmarkEnd w:id="110"/>
      <w:bookmarkEnd w:id="111"/>
    </w:p>
    <w:p w14:paraId="36C56E1D">
      <w:pPr>
        <w:keepNext w:val="0"/>
        <w:keepLines w:val="0"/>
        <w:pageBreakBefore w:val="0"/>
        <w:widowControl w:val="0"/>
        <w:numPr>
          <w:ilvl w:val="0"/>
          <w:numId w:val="0"/>
        </w:numPr>
        <w:kinsoku/>
        <w:overflowPunct/>
        <w:topLinePunct w:val="0"/>
        <w:autoSpaceDE/>
        <w:autoSpaceDN/>
        <w:bidi w:val="0"/>
        <w:adjustRightInd/>
        <w:snapToGrid/>
        <w:spacing w:line="400" w:lineRule="exact"/>
        <w:ind w:leftChars="175"/>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9.1</w:t>
      </w:r>
      <w:r>
        <w:rPr>
          <w:rFonts w:hint="eastAsia" w:ascii="宋体" w:hAnsi="宋体" w:eastAsia="宋体" w:cs="宋体"/>
          <w:b/>
          <w:color w:val="auto"/>
          <w:sz w:val="21"/>
          <w:szCs w:val="21"/>
          <w:highlight w:val="none"/>
        </w:rPr>
        <w:t>对招标人的纪律要求</w:t>
      </w:r>
    </w:p>
    <w:p w14:paraId="2444E16D">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招标人不得泄漏招标投标活动中应当保密的情况和资料，不得与投标人串通损害国家利益、社会公共利益或者他人合法权益。</w:t>
      </w:r>
    </w:p>
    <w:p w14:paraId="7F5504BE">
      <w:pPr>
        <w:keepNext w:val="0"/>
        <w:keepLines w:val="0"/>
        <w:pageBreakBefore w:val="0"/>
        <w:widowControl w:val="0"/>
        <w:numPr>
          <w:ilvl w:val="0"/>
          <w:numId w:val="0"/>
        </w:numPr>
        <w:kinsoku/>
        <w:overflowPunct/>
        <w:topLinePunct w:val="0"/>
        <w:autoSpaceDE/>
        <w:autoSpaceDN/>
        <w:bidi w:val="0"/>
        <w:adjustRightInd/>
        <w:snapToGrid/>
        <w:spacing w:line="400" w:lineRule="exact"/>
        <w:ind w:leftChars="175"/>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9.2</w:t>
      </w:r>
      <w:r>
        <w:rPr>
          <w:rFonts w:hint="eastAsia" w:ascii="宋体" w:hAnsi="宋体" w:eastAsia="宋体" w:cs="宋体"/>
          <w:b/>
          <w:color w:val="auto"/>
          <w:sz w:val="21"/>
          <w:szCs w:val="21"/>
          <w:highlight w:val="none"/>
        </w:rPr>
        <w:t>对投标人的纪律要求</w:t>
      </w:r>
    </w:p>
    <w:p w14:paraId="5A4CA2EE">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2F779B7">
      <w:pPr>
        <w:keepNext w:val="0"/>
        <w:keepLines w:val="0"/>
        <w:pageBreakBefore w:val="0"/>
        <w:widowControl w:val="0"/>
        <w:numPr>
          <w:ilvl w:val="0"/>
          <w:numId w:val="0"/>
        </w:numPr>
        <w:kinsoku/>
        <w:overflowPunct/>
        <w:topLinePunct w:val="0"/>
        <w:autoSpaceDE/>
        <w:autoSpaceDN/>
        <w:bidi w:val="0"/>
        <w:adjustRightInd/>
        <w:snapToGrid/>
        <w:spacing w:line="400" w:lineRule="exact"/>
        <w:ind w:leftChars="175"/>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9.3</w:t>
      </w:r>
      <w:r>
        <w:rPr>
          <w:rFonts w:hint="eastAsia" w:ascii="宋体" w:hAnsi="宋体" w:eastAsia="宋体" w:cs="宋体"/>
          <w:b/>
          <w:color w:val="auto"/>
          <w:sz w:val="21"/>
          <w:szCs w:val="21"/>
          <w:highlight w:val="none"/>
        </w:rPr>
        <w:t>对评标委员会成员的纪律要求</w:t>
      </w:r>
    </w:p>
    <w:p w14:paraId="3C05452A">
      <w:pPr>
        <w:keepNext w:val="0"/>
        <w:keepLines w:val="0"/>
        <w:pageBreakBefore w:val="0"/>
        <w:widowControl w:val="0"/>
        <w:kinsoku/>
        <w:wordWrap/>
        <w:overflowPunct/>
        <w:topLinePunct w:val="0"/>
        <w:autoSpaceDE/>
        <w:autoSpaceDN/>
        <w:bidi w:val="0"/>
        <w:adjustRightInd w:val="0"/>
        <w:snapToGrid w:val="0"/>
        <w:spacing w:line="400" w:lineRule="exact"/>
        <w:ind w:left="1" w:right="63" w:firstLine="35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 ”没有规定的评审因素和标准进行评标。</w:t>
      </w:r>
    </w:p>
    <w:p w14:paraId="350850E4">
      <w:pPr>
        <w:keepNext w:val="0"/>
        <w:keepLines w:val="0"/>
        <w:pageBreakBefore w:val="0"/>
        <w:widowControl w:val="0"/>
        <w:numPr>
          <w:ilvl w:val="0"/>
          <w:numId w:val="0"/>
        </w:numPr>
        <w:kinsoku/>
        <w:overflowPunct/>
        <w:topLinePunct w:val="0"/>
        <w:autoSpaceDE/>
        <w:autoSpaceDN/>
        <w:bidi w:val="0"/>
        <w:adjustRightInd/>
        <w:snapToGrid/>
        <w:spacing w:line="400" w:lineRule="exact"/>
        <w:ind w:leftChars="175"/>
        <w:jc w:val="both"/>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9.4</w:t>
      </w:r>
      <w:r>
        <w:rPr>
          <w:rFonts w:hint="eastAsia" w:ascii="宋体" w:hAnsi="宋体" w:eastAsia="宋体" w:cs="宋体"/>
          <w:b/>
          <w:color w:val="auto"/>
          <w:sz w:val="21"/>
          <w:szCs w:val="21"/>
          <w:highlight w:val="none"/>
        </w:rPr>
        <w:t>对与评标活动有关的工作人员的纪律要求</w:t>
      </w:r>
    </w:p>
    <w:p w14:paraId="7B2E26BB">
      <w:pPr>
        <w:keepNext w:val="0"/>
        <w:keepLines w:val="0"/>
        <w:pageBreakBefore w:val="0"/>
        <w:widowControl w:val="0"/>
        <w:kinsoku/>
        <w:overflowPunct/>
        <w:topLinePunct w:val="0"/>
        <w:autoSpaceDE/>
        <w:autoSpaceDN/>
        <w:bidi w:val="0"/>
        <w:adjustRightInd/>
        <w:snapToGrid/>
        <w:spacing w:line="400" w:lineRule="exact"/>
        <w:ind w:leftChars="0" w:firstLine="420" w:firstLineChars="200"/>
        <w:jc w:val="both"/>
        <w:textAlignment w:val="auto"/>
        <w:rPr>
          <w:rFonts w:hint="eastAsia" w:ascii="宋体" w:hAnsi="宋体" w:eastAsia="宋体" w:cs="宋体"/>
          <w:color w:val="auto"/>
          <w:spacing w:val="-9"/>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bookmarkEnd w:id="112"/>
    <w:p w14:paraId="7801B9D0">
      <w:pPr>
        <w:keepNext w:val="0"/>
        <w:keepLines w:val="0"/>
        <w:pageBreakBefore w:val="0"/>
        <w:widowControl w:val="0"/>
        <w:kinsoku/>
        <w:overflowPunct/>
        <w:topLinePunct w:val="0"/>
        <w:autoSpaceDE/>
        <w:autoSpaceDN/>
        <w:bidi w:val="0"/>
        <w:adjustRightInd/>
        <w:snapToGrid/>
        <w:spacing w:line="400" w:lineRule="exact"/>
        <w:ind w:leftChars="0"/>
        <w:jc w:val="both"/>
        <w:textAlignment w:val="auto"/>
        <w:rPr>
          <w:rFonts w:hint="eastAsia" w:ascii="宋体" w:hAnsi="宋体" w:eastAsia="宋体" w:cs="宋体"/>
          <w:b/>
          <w:color w:val="auto"/>
          <w:sz w:val="21"/>
          <w:szCs w:val="21"/>
          <w:highlight w:val="none"/>
        </w:rPr>
      </w:pPr>
      <w:bookmarkStart w:id="113" w:name="bookmark78"/>
      <w:bookmarkEnd w:id="113"/>
      <w:bookmarkStart w:id="114" w:name="_Toc819"/>
      <w:bookmarkStart w:id="115" w:name="_Toc45697241"/>
      <w:bookmarkStart w:id="116" w:name="_Toc22828077"/>
      <w:r>
        <w:rPr>
          <w:rFonts w:hint="eastAsia" w:ascii="宋体" w:hAnsi="宋体" w:eastAsia="宋体" w:cs="宋体"/>
          <w:b/>
          <w:color w:val="auto"/>
          <w:sz w:val="21"/>
          <w:szCs w:val="21"/>
          <w:highlight w:val="none"/>
        </w:rPr>
        <w:t>10.需要补充的其他内容</w:t>
      </w:r>
      <w:bookmarkEnd w:id="114"/>
      <w:bookmarkEnd w:id="115"/>
      <w:bookmarkEnd w:id="116"/>
    </w:p>
    <w:p w14:paraId="70342AC6">
      <w:pPr>
        <w:keepNext w:val="0"/>
        <w:keepLines w:val="0"/>
        <w:pageBreakBefore w:val="0"/>
        <w:widowControl w:val="0"/>
        <w:kinsoku/>
        <w:wordWrap/>
        <w:overflowPunct/>
        <w:topLinePunct w:val="0"/>
        <w:autoSpaceDE/>
        <w:autoSpaceDN/>
        <w:bidi w:val="0"/>
        <w:adjustRightInd w:val="0"/>
        <w:snapToGrid w:val="0"/>
        <w:spacing w:line="400" w:lineRule="exact"/>
        <w:ind w:right="62"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10.1  否决投标的情形：见投标人须知前附表。</w:t>
      </w:r>
    </w:p>
    <w:p w14:paraId="2DD1FC48">
      <w:pPr>
        <w:keepNext w:val="0"/>
        <w:keepLines w:val="0"/>
        <w:pageBreakBefore w:val="0"/>
        <w:widowControl w:val="0"/>
        <w:kinsoku/>
        <w:wordWrap/>
        <w:overflowPunct/>
        <w:topLinePunct w:val="0"/>
        <w:autoSpaceDE/>
        <w:autoSpaceDN/>
        <w:bidi w:val="0"/>
        <w:adjustRightInd w:val="0"/>
        <w:snapToGrid w:val="0"/>
        <w:spacing w:line="400" w:lineRule="exact"/>
        <w:ind w:right="62"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10.2  异议和投诉：见投标人须知前附表。</w:t>
      </w:r>
    </w:p>
    <w:p w14:paraId="7B49139F">
      <w:pPr>
        <w:keepNext w:val="0"/>
        <w:keepLines w:val="0"/>
        <w:pageBreakBefore w:val="0"/>
        <w:widowControl w:val="0"/>
        <w:kinsoku/>
        <w:wordWrap/>
        <w:overflowPunct/>
        <w:topLinePunct w:val="0"/>
        <w:autoSpaceDE/>
        <w:autoSpaceDN/>
        <w:bidi w:val="0"/>
        <w:adjustRightInd w:val="0"/>
        <w:snapToGrid w:val="0"/>
        <w:spacing w:line="400" w:lineRule="exact"/>
        <w:ind w:right="62"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10.3  定标：见投标人须知前附表。</w:t>
      </w:r>
    </w:p>
    <w:p w14:paraId="7D147CDB">
      <w:pPr>
        <w:keepNext w:val="0"/>
        <w:keepLines w:val="0"/>
        <w:pageBreakBefore w:val="0"/>
        <w:widowControl w:val="0"/>
        <w:kinsoku/>
        <w:wordWrap/>
        <w:overflowPunct/>
        <w:topLinePunct w:val="0"/>
        <w:autoSpaceDE/>
        <w:autoSpaceDN/>
        <w:bidi w:val="0"/>
        <w:adjustRightInd w:val="0"/>
        <w:snapToGrid w:val="0"/>
        <w:spacing w:line="400" w:lineRule="exact"/>
        <w:ind w:right="62"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10.4  在建合同工程的认定及变更证明：见投标人须知前附表。</w:t>
      </w:r>
    </w:p>
    <w:p w14:paraId="415E26A6">
      <w:pPr>
        <w:keepNext w:val="0"/>
        <w:keepLines w:val="0"/>
        <w:pageBreakBefore w:val="0"/>
        <w:widowControl w:val="0"/>
        <w:kinsoku/>
        <w:wordWrap/>
        <w:overflowPunct/>
        <w:topLinePunct w:val="0"/>
        <w:autoSpaceDE/>
        <w:autoSpaceDN/>
        <w:bidi w:val="0"/>
        <w:adjustRightInd w:val="0"/>
        <w:snapToGrid w:val="0"/>
        <w:spacing w:line="400" w:lineRule="exact"/>
        <w:ind w:right="62"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10.5  特别说明：见投标人须知前附表。</w:t>
      </w:r>
    </w:p>
    <w:p w14:paraId="34E6AF2A">
      <w:pPr>
        <w:keepNext w:val="0"/>
        <w:keepLines w:val="0"/>
        <w:pageBreakBefore w:val="0"/>
        <w:widowControl w:val="0"/>
        <w:kinsoku/>
        <w:wordWrap/>
        <w:overflowPunct/>
        <w:topLinePunct w:val="0"/>
        <w:autoSpaceDE/>
        <w:autoSpaceDN/>
        <w:bidi w:val="0"/>
        <w:adjustRightInd/>
        <w:spacing w:line="400" w:lineRule="exact"/>
        <w:ind w:firstLine="420" w:firstLineChars="200"/>
        <w:textAlignment w:val="auto"/>
        <w:rPr>
          <w:rFonts w:ascii="黑体" w:hAnsi="黑体" w:eastAsia="黑体"/>
          <w:color w:val="auto"/>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10.6  其他：见投标人须知前附表。</w:t>
      </w:r>
      <w:r>
        <w:rPr>
          <w:rFonts w:hint="eastAsia" w:ascii="黑体" w:eastAsia="黑体"/>
          <w:highlight w:val="none"/>
        </w:rPr>
        <w:br w:type="page"/>
      </w:r>
      <w:r>
        <w:rPr>
          <w:rFonts w:hint="eastAsia" w:ascii="黑体" w:hAnsi="黑体" w:eastAsia="黑体"/>
          <w:color w:val="auto"/>
          <w:highlight w:val="none"/>
        </w:rPr>
        <w:t>附表一：开标记录表</w:t>
      </w:r>
    </w:p>
    <w:p w14:paraId="6E524C56">
      <w:pPr>
        <w:keepNext w:val="0"/>
        <w:keepLines w:val="0"/>
        <w:pageBreakBefore w:val="0"/>
        <w:overflowPunct/>
        <w:topLinePunct w:val="0"/>
        <w:bidi w:val="0"/>
        <w:spacing w:line="240" w:lineRule="auto"/>
        <w:ind w:firstLine="1400" w:firstLineChars="500"/>
        <w:rPr>
          <w:rFonts w:ascii="黑体" w:eastAsia="黑体"/>
          <w:color w:val="auto"/>
          <w:sz w:val="28"/>
          <w:szCs w:val="28"/>
          <w:highlight w:val="none"/>
        </w:rPr>
      </w:pPr>
      <w:r>
        <w:rPr>
          <w:rFonts w:hint="eastAsia" w:ascii="黑体" w:eastAsia="黑体"/>
          <w:color w:val="auto"/>
          <w:sz w:val="28"/>
          <w:szCs w:val="28"/>
          <w:highlight w:val="none"/>
          <w:u w:val="single"/>
        </w:rPr>
        <w:t xml:space="preserve">       （项目名称）   </w:t>
      </w:r>
      <w:r>
        <w:rPr>
          <w:rFonts w:hint="eastAsia" w:ascii="黑体" w:eastAsia="黑体"/>
          <w:color w:val="auto"/>
          <w:sz w:val="28"/>
          <w:szCs w:val="28"/>
          <w:highlight w:val="none"/>
          <w:lang w:eastAsia="zh-CN"/>
        </w:rPr>
        <w:t>工程总承包招标</w:t>
      </w:r>
      <w:r>
        <w:rPr>
          <w:rFonts w:hint="eastAsia" w:ascii="黑体" w:eastAsia="黑体"/>
          <w:color w:val="auto"/>
          <w:sz w:val="28"/>
          <w:szCs w:val="28"/>
          <w:highlight w:val="none"/>
        </w:rPr>
        <w:t>开标记录表</w:t>
      </w:r>
    </w:p>
    <w:p w14:paraId="1D317BA5">
      <w:pPr>
        <w:keepNext w:val="0"/>
        <w:keepLines w:val="0"/>
        <w:pageBreakBefore w:val="0"/>
        <w:overflowPunct/>
        <w:topLinePunct w:val="0"/>
        <w:bidi w:val="0"/>
        <w:adjustRightInd/>
        <w:spacing w:line="240" w:lineRule="auto"/>
        <w:ind w:firstLine="0" w:firstLineChars="0"/>
        <w:jc w:val="right"/>
        <w:rPr>
          <w:rFonts w:hint="eastAsia" w:ascii="黑体" w:eastAsia="黑体"/>
          <w:color w:val="auto"/>
          <w:highlight w:val="none"/>
        </w:rPr>
      </w:pPr>
    </w:p>
    <w:p w14:paraId="6EFEDF0A">
      <w:pPr>
        <w:keepNext w:val="0"/>
        <w:keepLines w:val="0"/>
        <w:pageBreakBefore w:val="0"/>
        <w:overflowPunct/>
        <w:topLinePunct w:val="0"/>
        <w:bidi w:val="0"/>
        <w:adjustRightInd/>
        <w:spacing w:line="240" w:lineRule="auto"/>
        <w:ind w:firstLine="0" w:firstLineChars="0"/>
        <w:jc w:val="right"/>
        <w:rPr>
          <w:rFonts w:ascii="黑体" w:eastAsia="黑体"/>
          <w:color w:val="auto"/>
          <w:highlight w:val="none"/>
        </w:rPr>
      </w:pPr>
      <w:r>
        <w:rPr>
          <w:rFonts w:hint="eastAsia" w:ascii="黑体" w:eastAsia="黑体"/>
          <w:color w:val="auto"/>
          <w:highlight w:val="none"/>
        </w:rPr>
        <w:t>开标时间：</w:t>
      </w:r>
      <w:r>
        <w:rPr>
          <w:rFonts w:ascii="黑体" w:eastAsia="黑体"/>
          <w:color w:val="auto"/>
          <w:highlight w:val="none"/>
          <w:u w:val="single"/>
        </w:rPr>
        <w:t xml:space="preserve">      </w:t>
      </w:r>
      <w:r>
        <w:rPr>
          <w:rFonts w:hint="eastAsia" w:ascii="黑体" w:eastAsia="黑体"/>
          <w:color w:val="auto"/>
          <w:highlight w:val="none"/>
        </w:rPr>
        <w:t>年</w:t>
      </w:r>
      <w:r>
        <w:rPr>
          <w:rFonts w:ascii="黑体" w:eastAsia="黑体"/>
          <w:color w:val="auto"/>
          <w:highlight w:val="none"/>
          <w:u w:val="single"/>
        </w:rPr>
        <w:t xml:space="preserve">    </w:t>
      </w:r>
      <w:r>
        <w:rPr>
          <w:rFonts w:hint="eastAsia" w:ascii="黑体" w:eastAsia="黑体"/>
          <w:color w:val="auto"/>
          <w:highlight w:val="none"/>
        </w:rPr>
        <w:t>月</w:t>
      </w:r>
      <w:r>
        <w:rPr>
          <w:rFonts w:ascii="黑体" w:eastAsia="黑体"/>
          <w:color w:val="auto"/>
          <w:highlight w:val="none"/>
          <w:u w:val="single"/>
        </w:rPr>
        <w:t xml:space="preserve">    </w:t>
      </w:r>
      <w:r>
        <w:rPr>
          <w:rFonts w:hint="eastAsia" w:ascii="黑体" w:eastAsia="黑体"/>
          <w:color w:val="auto"/>
          <w:highlight w:val="none"/>
        </w:rPr>
        <w:t>日</w:t>
      </w:r>
      <w:r>
        <w:rPr>
          <w:rFonts w:ascii="黑体" w:eastAsia="黑体"/>
          <w:color w:val="auto"/>
          <w:highlight w:val="none"/>
          <w:u w:val="single"/>
        </w:rPr>
        <w:t xml:space="preserve">    </w:t>
      </w:r>
      <w:r>
        <w:rPr>
          <w:rFonts w:hint="eastAsia" w:ascii="黑体" w:eastAsia="黑体"/>
          <w:color w:val="auto"/>
          <w:highlight w:val="none"/>
        </w:rPr>
        <w:t>时</w:t>
      </w:r>
      <w:r>
        <w:rPr>
          <w:rFonts w:ascii="黑体" w:eastAsia="黑体"/>
          <w:color w:val="auto"/>
          <w:highlight w:val="none"/>
          <w:u w:val="single"/>
        </w:rPr>
        <w:t xml:space="preserve">    </w:t>
      </w:r>
      <w:r>
        <w:rPr>
          <w:rFonts w:hint="eastAsia" w:ascii="黑体" w:eastAsia="黑体"/>
          <w:color w:val="auto"/>
          <w:highlight w:val="none"/>
        </w:rPr>
        <w:t>分</w:t>
      </w:r>
    </w:p>
    <w:tbl>
      <w:tblPr>
        <w:tblStyle w:val="60"/>
        <w:tblW w:w="8833" w:type="dxa"/>
        <w:tblInd w:w="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1"/>
        <w:gridCol w:w="615"/>
        <w:gridCol w:w="615"/>
        <w:gridCol w:w="854"/>
        <w:gridCol w:w="625"/>
        <w:gridCol w:w="790"/>
        <w:gridCol w:w="672"/>
        <w:gridCol w:w="819"/>
        <w:gridCol w:w="939"/>
        <w:gridCol w:w="879"/>
        <w:gridCol w:w="714"/>
        <w:gridCol w:w="810"/>
      </w:tblGrid>
      <w:tr w14:paraId="4046F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501" w:type="dxa"/>
            <w:vMerge w:val="restart"/>
            <w:tcBorders>
              <w:bottom w:val="nil"/>
            </w:tcBorders>
            <w:vAlign w:val="top"/>
          </w:tcPr>
          <w:p w14:paraId="1B75095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11C3DD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A8C63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804BFFB">
            <w:pPr>
              <w:pStyle w:val="23"/>
              <w:rPr>
                <w:rFonts w:hint="eastAsia"/>
                <w:color w:val="000000" w:themeColor="text1"/>
                <w:highlight w:val="none"/>
                <w14:textFill>
                  <w14:solidFill>
                    <w14:schemeClr w14:val="tx1"/>
                  </w14:solidFill>
                </w14:textFill>
              </w:rPr>
            </w:pPr>
          </w:p>
          <w:p w14:paraId="2CA2D844">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序号</w:t>
            </w:r>
          </w:p>
        </w:tc>
        <w:tc>
          <w:tcPr>
            <w:tcW w:w="1230" w:type="dxa"/>
            <w:gridSpan w:val="2"/>
            <w:vAlign w:val="top"/>
          </w:tcPr>
          <w:p w14:paraId="37E1A7B2">
            <w:pPr>
              <w:pStyle w:val="43"/>
              <w:keepNext w:val="0"/>
              <w:keepLines w:val="0"/>
              <w:pageBreakBefore w:val="0"/>
              <w:widowControl w:val="0"/>
              <w:kinsoku/>
              <w:wordWrap/>
              <w:overflowPunct/>
              <w:topLinePunct w:val="0"/>
              <w:autoSpaceDE/>
              <w:autoSpaceDN/>
              <w:bidi w:val="0"/>
              <w:adjustRightInd w:val="0"/>
              <w:snapToGrid w:val="0"/>
              <w:spacing w:before="304" w:line="400" w:lineRule="exact"/>
              <w:ind w:left="33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w:t>
            </w:r>
          </w:p>
        </w:tc>
        <w:tc>
          <w:tcPr>
            <w:tcW w:w="854" w:type="dxa"/>
            <w:vMerge w:val="restart"/>
            <w:tcBorders>
              <w:bottom w:val="nil"/>
            </w:tcBorders>
            <w:vAlign w:val="center"/>
          </w:tcPr>
          <w:p w14:paraId="6BA8E991">
            <w:pPr>
              <w:pStyle w:val="43"/>
              <w:keepNext w:val="0"/>
              <w:keepLines w:val="0"/>
              <w:pageBreakBefore w:val="0"/>
              <w:widowControl w:val="0"/>
              <w:kinsoku/>
              <w:wordWrap/>
              <w:overflowPunct/>
              <w:topLinePunct w:val="0"/>
              <w:autoSpaceDE/>
              <w:autoSpaceDN/>
              <w:bidi w:val="0"/>
              <w:adjustRightInd w:val="0"/>
              <w:snapToGrid w:val="0"/>
              <w:spacing w:before="78" w:line="400" w:lineRule="exact"/>
              <w:ind w:right="48"/>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投标保 证金缴</w:t>
            </w:r>
          </w:p>
          <w:p w14:paraId="77AD6530">
            <w:pPr>
              <w:pStyle w:val="43"/>
              <w:keepNext w:val="0"/>
              <w:keepLines w:val="0"/>
              <w:pageBreakBefore w:val="0"/>
              <w:widowControl w:val="0"/>
              <w:kinsoku/>
              <w:wordWrap/>
              <w:overflowPunct/>
              <w:topLinePunct w:val="0"/>
              <w:autoSpaceDE/>
              <w:autoSpaceDN/>
              <w:bidi w:val="0"/>
              <w:adjustRightInd w:val="0"/>
              <w:snapToGrid w:val="0"/>
              <w:spacing w:line="400" w:lineRule="exact"/>
              <w:ind w:left="91"/>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纳情况</w:t>
            </w:r>
          </w:p>
        </w:tc>
        <w:tc>
          <w:tcPr>
            <w:tcW w:w="625" w:type="dxa"/>
            <w:vMerge w:val="restart"/>
            <w:tcBorders>
              <w:bottom w:val="nil"/>
            </w:tcBorders>
            <w:vAlign w:val="center"/>
          </w:tcPr>
          <w:p w14:paraId="106246E9">
            <w:pPr>
              <w:pStyle w:val="43"/>
              <w:keepNext w:val="0"/>
              <w:keepLines w:val="0"/>
              <w:pageBreakBefore w:val="0"/>
              <w:widowControl w:val="0"/>
              <w:kinsoku/>
              <w:wordWrap/>
              <w:overflowPunct/>
              <w:topLinePunct w:val="0"/>
              <w:autoSpaceDE/>
              <w:autoSpaceDN/>
              <w:bidi w:val="0"/>
              <w:adjustRightInd w:val="0"/>
              <w:snapToGrid w:val="0"/>
              <w:spacing w:before="78" w:line="400" w:lineRule="exact"/>
              <w:ind w:right="119"/>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 报价 （万</w:t>
            </w:r>
          </w:p>
          <w:p w14:paraId="7D3CC7C1">
            <w:pPr>
              <w:pStyle w:val="43"/>
              <w:keepNext w:val="0"/>
              <w:keepLines w:val="0"/>
              <w:pageBreakBefore w:val="0"/>
              <w:widowControl w:val="0"/>
              <w:kinsoku/>
              <w:wordWrap/>
              <w:overflowPunct/>
              <w:topLinePunct w:val="0"/>
              <w:autoSpaceDE/>
              <w:autoSpaceDN/>
              <w:bidi w:val="0"/>
              <w:adjustRightInd w:val="0"/>
              <w:snapToGrid w:val="0"/>
              <w:spacing w:line="400" w:lineRule="exact"/>
              <w:ind w:left="32"/>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元）</w:t>
            </w:r>
          </w:p>
        </w:tc>
        <w:tc>
          <w:tcPr>
            <w:tcW w:w="790" w:type="dxa"/>
            <w:vMerge w:val="restart"/>
            <w:tcBorders>
              <w:bottom w:val="nil"/>
            </w:tcBorders>
            <w:vAlign w:val="center"/>
          </w:tcPr>
          <w:p w14:paraId="5C76DF8E">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2"/>
                <w:sz w:val="21"/>
                <w:szCs w:val="21"/>
                <w:highlight w:val="none"/>
                <w14:textFill>
                  <w14:solidFill>
                    <w14:schemeClr w14:val="tx1"/>
                  </w14:solidFill>
                </w14:textFill>
              </w:rPr>
              <w:t>质量</w:t>
            </w:r>
          </w:p>
          <w:p w14:paraId="530DD3F6">
            <w:pPr>
              <w:pStyle w:val="43"/>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标准</w:t>
            </w:r>
          </w:p>
        </w:tc>
        <w:tc>
          <w:tcPr>
            <w:tcW w:w="672" w:type="dxa"/>
            <w:vMerge w:val="restart"/>
            <w:tcBorders>
              <w:bottom w:val="nil"/>
            </w:tcBorders>
            <w:vAlign w:val="center"/>
          </w:tcPr>
          <w:p w14:paraId="7825CD9C">
            <w:pPr>
              <w:pStyle w:val="43"/>
              <w:keepNext w:val="0"/>
              <w:keepLines w:val="0"/>
              <w:pageBreakBefore w:val="0"/>
              <w:widowControl w:val="0"/>
              <w:kinsoku/>
              <w:wordWrap/>
              <w:overflowPunct/>
              <w:topLinePunct w:val="0"/>
              <w:autoSpaceDE/>
              <w:autoSpaceDN/>
              <w:bidi w:val="0"/>
              <w:adjustRightInd w:val="0"/>
              <w:snapToGrid w:val="0"/>
              <w:spacing w:before="78" w:line="400" w:lineRule="exact"/>
              <w:ind w:right="18"/>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工期</w:t>
            </w:r>
          </w:p>
        </w:tc>
        <w:tc>
          <w:tcPr>
            <w:tcW w:w="819" w:type="dxa"/>
            <w:vMerge w:val="restart"/>
            <w:tcBorders>
              <w:bottom w:val="nil"/>
            </w:tcBorders>
            <w:vAlign w:val="center"/>
          </w:tcPr>
          <w:p w14:paraId="11AAE445">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2"/>
                <w:sz w:val="21"/>
                <w:szCs w:val="21"/>
                <w:highlight w:val="none"/>
                <w14:textFill>
                  <w14:solidFill>
                    <w14:schemeClr w14:val="tx1"/>
                  </w14:solidFill>
                </w14:textFill>
              </w:rPr>
              <w:t>项目</w:t>
            </w:r>
          </w:p>
          <w:p w14:paraId="4AF22CB0">
            <w:pPr>
              <w:pStyle w:val="43"/>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负责</w:t>
            </w:r>
          </w:p>
          <w:p w14:paraId="5B2FE2D2">
            <w:pPr>
              <w:pStyle w:val="43"/>
              <w:keepNext w:val="0"/>
              <w:keepLines w:val="0"/>
              <w:pageBreakBefore w:val="0"/>
              <w:widowControl w:val="0"/>
              <w:kinsoku/>
              <w:wordWrap/>
              <w:overflowPunct/>
              <w:topLinePunct w:val="0"/>
              <w:autoSpaceDE/>
              <w:autoSpaceDN/>
              <w:bidi w:val="0"/>
              <w:adjustRightInd w:val="0"/>
              <w:snapToGrid w:val="0"/>
              <w:spacing w:before="120"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w:t>
            </w:r>
          </w:p>
        </w:tc>
        <w:tc>
          <w:tcPr>
            <w:tcW w:w="939" w:type="dxa"/>
            <w:vMerge w:val="restart"/>
            <w:tcBorders>
              <w:bottom w:val="nil"/>
            </w:tcBorders>
            <w:vAlign w:val="center"/>
          </w:tcPr>
          <w:p w14:paraId="0CFDD2BC">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施工</w:t>
            </w:r>
          </w:p>
          <w:p w14:paraId="5EE6AA79">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负责</w:t>
            </w:r>
          </w:p>
          <w:p w14:paraId="3FC74575">
            <w:pPr>
              <w:pStyle w:val="43"/>
              <w:keepNext w:val="0"/>
              <w:keepLines w:val="0"/>
              <w:pageBreakBefore w:val="0"/>
              <w:widowControl w:val="0"/>
              <w:kinsoku/>
              <w:wordWrap/>
              <w:overflowPunct/>
              <w:topLinePunct w:val="0"/>
              <w:autoSpaceDE/>
              <w:autoSpaceDN/>
              <w:bidi w:val="0"/>
              <w:adjustRightInd w:val="0"/>
              <w:snapToGrid w:val="0"/>
              <w:spacing w:before="120"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w:t>
            </w:r>
          </w:p>
        </w:tc>
        <w:tc>
          <w:tcPr>
            <w:tcW w:w="879" w:type="dxa"/>
            <w:vMerge w:val="restart"/>
            <w:tcBorders>
              <w:bottom w:val="nil"/>
            </w:tcBorders>
            <w:vAlign w:val="center"/>
          </w:tcPr>
          <w:p w14:paraId="4763681A">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2"/>
                <w:sz w:val="21"/>
                <w:szCs w:val="21"/>
                <w:highlight w:val="none"/>
                <w14:textFill>
                  <w14:solidFill>
                    <w14:schemeClr w14:val="tx1"/>
                  </w14:solidFill>
                </w14:textFill>
              </w:rPr>
              <w:t>设计</w:t>
            </w:r>
          </w:p>
          <w:p w14:paraId="6D5074F7">
            <w:pPr>
              <w:pStyle w:val="43"/>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负责</w:t>
            </w:r>
          </w:p>
          <w:p w14:paraId="695CC50B">
            <w:pPr>
              <w:pStyle w:val="43"/>
              <w:keepNext w:val="0"/>
              <w:keepLines w:val="0"/>
              <w:pageBreakBefore w:val="0"/>
              <w:widowControl w:val="0"/>
              <w:kinsoku/>
              <w:wordWrap/>
              <w:overflowPunct/>
              <w:topLinePunct w:val="0"/>
              <w:autoSpaceDE/>
              <w:autoSpaceDN/>
              <w:bidi w:val="0"/>
              <w:adjustRightInd w:val="0"/>
              <w:snapToGrid w:val="0"/>
              <w:spacing w:before="120"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w:t>
            </w:r>
          </w:p>
        </w:tc>
        <w:tc>
          <w:tcPr>
            <w:tcW w:w="714" w:type="dxa"/>
            <w:vMerge w:val="restart"/>
            <w:tcBorders>
              <w:bottom w:val="nil"/>
            </w:tcBorders>
            <w:vAlign w:val="center"/>
          </w:tcPr>
          <w:p w14:paraId="03189D1F">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备注</w:t>
            </w:r>
          </w:p>
        </w:tc>
        <w:tc>
          <w:tcPr>
            <w:tcW w:w="810" w:type="dxa"/>
            <w:vMerge w:val="restart"/>
            <w:tcBorders>
              <w:bottom w:val="nil"/>
            </w:tcBorders>
            <w:vAlign w:val="center"/>
          </w:tcPr>
          <w:p w14:paraId="49BA7B2A">
            <w:pPr>
              <w:pStyle w:val="43"/>
              <w:keepNext w:val="0"/>
              <w:keepLines w:val="0"/>
              <w:pageBreakBefore w:val="0"/>
              <w:widowControl w:val="0"/>
              <w:kinsoku/>
              <w:wordWrap/>
              <w:overflowPunct/>
              <w:topLinePunct w:val="0"/>
              <w:autoSpaceDE/>
              <w:autoSpaceDN/>
              <w:bidi w:val="0"/>
              <w:adjustRightInd w:val="0"/>
              <w:snapToGrid w:val="0"/>
              <w:spacing w:before="7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2"/>
                <w:sz w:val="21"/>
                <w:szCs w:val="21"/>
                <w:highlight w:val="none"/>
                <w14:textFill>
                  <w14:solidFill>
                    <w14:schemeClr w14:val="tx1"/>
                  </w14:solidFill>
                </w14:textFill>
              </w:rPr>
              <w:t>投标</w:t>
            </w:r>
          </w:p>
          <w:p w14:paraId="6CC37CBD">
            <w:pPr>
              <w:pStyle w:val="43"/>
              <w:keepNext w:val="0"/>
              <w:keepLines w:val="0"/>
              <w:pageBreakBefore w:val="0"/>
              <w:widowControl w:val="0"/>
              <w:kinsoku/>
              <w:wordWrap/>
              <w:overflowPunct/>
              <w:topLinePunct w:val="0"/>
              <w:autoSpaceDE/>
              <w:autoSpaceDN/>
              <w:bidi w:val="0"/>
              <w:adjustRightInd w:val="0"/>
              <w:snapToGrid w:val="0"/>
              <w:spacing w:line="400" w:lineRule="exact"/>
              <w:ind w:left="68"/>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人确</w:t>
            </w:r>
          </w:p>
          <w:p w14:paraId="3EA5868E">
            <w:pPr>
              <w:pStyle w:val="43"/>
              <w:keepNext w:val="0"/>
              <w:keepLines w:val="0"/>
              <w:pageBreakBefore w:val="0"/>
              <w:widowControl w:val="0"/>
              <w:kinsoku/>
              <w:wordWrap/>
              <w:overflowPunct/>
              <w:topLinePunct w:val="0"/>
              <w:autoSpaceDE/>
              <w:autoSpaceDN/>
              <w:bidi w:val="0"/>
              <w:adjustRightInd w:val="0"/>
              <w:snapToGrid w:val="0"/>
              <w:spacing w:before="121"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认</w:t>
            </w:r>
          </w:p>
        </w:tc>
      </w:tr>
      <w:tr w14:paraId="1AA93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3" w:hRule="atLeast"/>
        </w:trPr>
        <w:tc>
          <w:tcPr>
            <w:tcW w:w="501" w:type="dxa"/>
            <w:vMerge w:val="continue"/>
            <w:tcBorders>
              <w:top w:val="nil"/>
            </w:tcBorders>
            <w:vAlign w:val="top"/>
          </w:tcPr>
          <w:p w14:paraId="4526987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106F2272">
            <w:pPr>
              <w:pStyle w:val="43"/>
              <w:keepNext w:val="0"/>
              <w:keepLines w:val="0"/>
              <w:pageBreakBefore w:val="0"/>
              <w:widowControl w:val="0"/>
              <w:kinsoku/>
              <w:wordWrap/>
              <w:overflowPunct/>
              <w:topLinePunct w:val="0"/>
              <w:autoSpaceDE/>
              <w:autoSpaceDN/>
              <w:bidi w:val="0"/>
              <w:adjustRightInd w:val="0"/>
              <w:snapToGrid w:val="0"/>
              <w:spacing w:before="161" w:line="400" w:lineRule="exact"/>
              <w:ind w:left="20" w:right="4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联合 体牵 头人 </w:t>
            </w:r>
            <w:r>
              <w:rPr>
                <w:rFonts w:hint="eastAsia" w:ascii="宋体" w:hAnsi="宋体" w:eastAsia="宋体" w:cs="宋体"/>
                <w:i w:val="0"/>
                <w:iCs w:val="0"/>
                <w:color w:val="000000" w:themeColor="text1"/>
                <w:spacing w:val="0"/>
                <w:w w:val="116"/>
                <w:sz w:val="21"/>
                <w:szCs w:val="21"/>
                <w:highlight w:val="none"/>
                <w14:textFill>
                  <w14:solidFill>
                    <w14:schemeClr w14:val="tx1"/>
                  </w14:solidFill>
                </w14:textFill>
              </w:rPr>
              <w:t>(如</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联合 体投</w:t>
            </w:r>
          </w:p>
          <w:p w14:paraId="26F09255">
            <w:pPr>
              <w:pStyle w:val="43"/>
              <w:keepNext w:val="0"/>
              <w:keepLines w:val="0"/>
              <w:pageBreakBefore w:val="0"/>
              <w:widowControl w:val="0"/>
              <w:kinsoku/>
              <w:wordWrap/>
              <w:overflowPunct/>
              <w:topLinePunct w:val="0"/>
              <w:autoSpaceDE/>
              <w:autoSpaceDN/>
              <w:bidi w:val="0"/>
              <w:adjustRightInd w:val="0"/>
              <w:snapToGrid w:val="0"/>
              <w:spacing w:line="400" w:lineRule="exact"/>
              <w:ind w:left="8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标)</w:t>
            </w:r>
          </w:p>
        </w:tc>
        <w:tc>
          <w:tcPr>
            <w:tcW w:w="615" w:type="dxa"/>
            <w:vAlign w:val="top"/>
          </w:tcPr>
          <w:p w14:paraId="50374B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9250B4C">
            <w:pPr>
              <w:pStyle w:val="43"/>
              <w:keepNext w:val="0"/>
              <w:keepLines w:val="0"/>
              <w:pageBreakBefore w:val="0"/>
              <w:widowControl w:val="0"/>
              <w:kinsoku/>
              <w:wordWrap/>
              <w:overflowPunct/>
              <w:topLinePunct w:val="0"/>
              <w:autoSpaceDE/>
              <w:autoSpaceDN/>
              <w:bidi w:val="0"/>
              <w:adjustRightInd w:val="0"/>
              <w:snapToGrid w:val="0"/>
              <w:spacing w:before="81" w:line="400" w:lineRule="exact"/>
              <w:ind w:left="38" w:firstLine="4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 体成 员(如 联合 体投</w:t>
            </w:r>
          </w:p>
          <w:p w14:paraId="6B23F479">
            <w:pPr>
              <w:pStyle w:val="43"/>
              <w:keepNext w:val="0"/>
              <w:keepLines w:val="0"/>
              <w:pageBreakBefore w:val="0"/>
              <w:widowControl w:val="0"/>
              <w:kinsoku/>
              <w:wordWrap/>
              <w:overflowPunct/>
              <w:topLinePunct w:val="0"/>
              <w:autoSpaceDE/>
              <w:autoSpaceDN/>
              <w:bidi w:val="0"/>
              <w:adjustRightInd w:val="0"/>
              <w:snapToGrid w:val="0"/>
              <w:spacing w:line="400" w:lineRule="exact"/>
              <w:ind w:left="13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标)</w:t>
            </w:r>
          </w:p>
        </w:tc>
        <w:tc>
          <w:tcPr>
            <w:tcW w:w="854" w:type="dxa"/>
            <w:vMerge w:val="continue"/>
            <w:tcBorders>
              <w:top w:val="nil"/>
            </w:tcBorders>
            <w:vAlign w:val="top"/>
          </w:tcPr>
          <w:p w14:paraId="0BD1A2F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Merge w:val="continue"/>
            <w:tcBorders>
              <w:top w:val="nil"/>
            </w:tcBorders>
            <w:vAlign w:val="top"/>
          </w:tcPr>
          <w:p w14:paraId="7DD16F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Merge w:val="continue"/>
            <w:tcBorders>
              <w:top w:val="nil"/>
            </w:tcBorders>
            <w:vAlign w:val="top"/>
          </w:tcPr>
          <w:p w14:paraId="7BB1981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Merge w:val="continue"/>
            <w:tcBorders>
              <w:top w:val="nil"/>
            </w:tcBorders>
            <w:vAlign w:val="top"/>
          </w:tcPr>
          <w:p w14:paraId="777C28A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Merge w:val="continue"/>
            <w:tcBorders>
              <w:top w:val="nil"/>
            </w:tcBorders>
            <w:vAlign w:val="top"/>
          </w:tcPr>
          <w:p w14:paraId="2976D8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Merge w:val="continue"/>
            <w:tcBorders>
              <w:top w:val="nil"/>
            </w:tcBorders>
            <w:vAlign w:val="top"/>
          </w:tcPr>
          <w:p w14:paraId="2A0712C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Merge w:val="continue"/>
            <w:tcBorders>
              <w:top w:val="nil"/>
            </w:tcBorders>
            <w:vAlign w:val="top"/>
          </w:tcPr>
          <w:p w14:paraId="08D8D8F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Merge w:val="continue"/>
            <w:tcBorders>
              <w:top w:val="nil"/>
            </w:tcBorders>
            <w:vAlign w:val="top"/>
          </w:tcPr>
          <w:p w14:paraId="13765AC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Merge w:val="continue"/>
            <w:tcBorders>
              <w:top w:val="nil"/>
            </w:tcBorders>
            <w:vAlign w:val="top"/>
          </w:tcPr>
          <w:p w14:paraId="5456240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7DA2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vAlign w:val="top"/>
          </w:tcPr>
          <w:p w14:paraId="12990C4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153CA7F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4DD206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188947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08CEACA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09CEF7D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24483F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4E65120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4454D14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7E5E490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1EA842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3A30311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36F4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vAlign w:val="top"/>
          </w:tcPr>
          <w:p w14:paraId="205F14B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2FA3178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4945D41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123DC35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5143624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2B2B269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7DF9936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6EC5B19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0BEEDF4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7A12D61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6BB1C03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2B59B27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817B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vAlign w:val="top"/>
          </w:tcPr>
          <w:p w14:paraId="461F553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15616D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3C36734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073E7ED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12A7BE9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2CAE69B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34E67E0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6E05FEB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2E41AF9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5D221C5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78D0AEF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3E0CA9B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0A49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vAlign w:val="top"/>
          </w:tcPr>
          <w:p w14:paraId="673B62F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6CCBDD0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718FB15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6C6F11E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1F191D3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17362B5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0D0BEDD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49E1C09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0D71441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6D6F21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74BEBDB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1BB47F6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ADD2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501" w:type="dxa"/>
            <w:vAlign w:val="top"/>
          </w:tcPr>
          <w:p w14:paraId="51AFF6D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1011A8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5820D3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6558347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1B5887A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1DEA18A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3B57D0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6A263E3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55C8BA2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78C3E9C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1540F19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4FB6489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B449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01" w:type="dxa"/>
            <w:vAlign w:val="top"/>
          </w:tcPr>
          <w:p w14:paraId="6723DEC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2BAF59D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3C31273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4BEDA19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64464AF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41919D8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19A6883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48014FA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4124999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6DB865D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7574B8D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3265AFA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2725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01" w:type="dxa"/>
            <w:vAlign w:val="top"/>
          </w:tcPr>
          <w:p w14:paraId="79DA6F5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0C20AE9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15" w:type="dxa"/>
            <w:vAlign w:val="top"/>
          </w:tcPr>
          <w:p w14:paraId="1FA7B52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54" w:type="dxa"/>
            <w:vAlign w:val="top"/>
          </w:tcPr>
          <w:p w14:paraId="3DC7406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25" w:type="dxa"/>
            <w:vAlign w:val="top"/>
          </w:tcPr>
          <w:p w14:paraId="0514C86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90" w:type="dxa"/>
            <w:vAlign w:val="top"/>
          </w:tcPr>
          <w:p w14:paraId="6A85228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672" w:type="dxa"/>
            <w:vAlign w:val="top"/>
          </w:tcPr>
          <w:p w14:paraId="0764A2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9" w:type="dxa"/>
            <w:vAlign w:val="top"/>
          </w:tcPr>
          <w:p w14:paraId="38C8AE2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39" w:type="dxa"/>
            <w:vAlign w:val="top"/>
          </w:tcPr>
          <w:p w14:paraId="56C5F0D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9" w:type="dxa"/>
            <w:vAlign w:val="top"/>
          </w:tcPr>
          <w:p w14:paraId="30B3EA4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14" w:type="dxa"/>
            <w:vAlign w:val="top"/>
          </w:tcPr>
          <w:p w14:paraId="167DDB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10" w:type="dxa"/>
            <w:vAlign w:val="top"/>
          </w:tcPr>
          <w:p w14:paraId="238C979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078D35D3">
      <w:pPr>
        <w:keepNext w:val="0"/>
        <w:keepLines w:val="0"/>
        <w:pageBreakBefore w:val="0"/>
        <w:overflowPunct/>
        <w:topLinePunct w:val="0"/>
        <w:bidi w:val="0"/>
        <w:adjustRightInd/>
        <w:spacing w:line="240" w:lineRule="auto"/>
        <w:rPr>
          <w:color w:val="auto"/>
          <w:highlight w:val="none"/>
        </w:rPr>
      </w:pPr>
    </w:p>
    <w:p w14:paraId="34400516">
      <w:pPr>
        <w:keepNext w:val="0"/>
        <w:keepLines w:val="0"/>
        <w:pageBreakBefore w:val="0"/>
        <w:overflowPunct/>
        <w:topLinePunct w:val="0"/>
        <w:bidi w:val="0"/>
        <w:adjustRightInd/>
        <w:spacing w:line="240" w:lineRule="auto"/>
        <w:rPr>
          <w:rFonts w:ascii="黑体" w:eastAsia="黑体"/>
          <w:color w:val="auto"/>
          <w:highlight w:val="none"/>
          <w:u w:val="single"/>
        </w:rPr>
      </w:pPr>
      <w:r>
        <w:rPr>
          <w:rFonts w:hint="eastAsia" w:ascii="黑体" w:eastAsia="黑体"/>
          <w:color w:val="auto"/>
          <w:highlight w:val="none"/>
        </w:rPr>
        <w:t>招标人代表：</w:t>
      </w:r>
      <w:r>
        <w:rPr>
          <w:rFonts w:ascii="黑体" w:eastAsia="黑体"/>
          <w:color w:val="auto"/>
          <w:highlight w:val="none"/>
          <w:u w:val="single"/>
        </w:rPr>
        <w:t xml:space="preserve">                </w:t>
      </w:r>
      <w:r>
        <w:rPr>
          <w:rFonts w:hint="eastAsia" w:ascii="黑体" w:eastAsia="黑体"/>
          <w:color w:val="auto"/>
          <w:highlight w:val="none"/>
        </w:rPr>
        <w:t>记录人：</w:t>
      </w:r>
      <w:r>
        <w:rPr>
          <w:rFonts w:ascii="黑体" w:eastAsia="黑体"/>
          <w:color w:val="auto"/>
          <w:highlight w:val="none"/>
          <w:u w:val="single"/>
        </w:rPr>
        <w:t xml:space="preserve">                 </w:t>
      </w:r>
      <w:r>
        <w:rPr>
          <w:rFonts w:hint="eastAsia" w:ascii="黑体" w:eastAsia="黑体"/>
          <w:color w:val="auto"/>
          <w:highlight w:val="none"/>
        </w:rPr>
        <w:t>监标人：</w:t>
      </w:r>
      <w:r>
        <w:rPr>
          <w:rFonts w:ascii="黑体" w:eastAsia="黑体"/>
          <w:color w:val="auto"/>
          <w:highlight w:val="none"/>
          <w:u w:val="single"/>
        </w:rPr>
        <w:t xml:space="preserve">               </w:t>
      </w:r>
    </w:p>
    <w:p w14:paraId="210D3152">
      <w:pPr>
        <w:keepNext w:val="0"/>
        <w:keepLines w:val="0"/>
        <w:pageBreakBefore w:val="0"/>
        <w:overflowPunct/>
        <w:topLinePunct w:val="0"/>
        <w:bidi w:val="0"/>
        <w:adjustRightInd/>
        <w:spacing w:line="240" w:lineRule="auto"/>
        <w:rPr>
          <w:color w:val="auto"/>
          <w:highlight w:val="none"/>
        </w:rPr>
      </w:pPr>
    </w:p>
    <w:p w14:paraId="4DA4F488">
      <w:pPr>
        <w:keepNext w:val="0"/>
        <w:keepLines w:val="0"/>
        <w:pageBreakBefore w:val="0"/>
        <w:overflowPunct/>
        <w:topLinePunct w:val="0"/>
        <w:bidi w:val="0"/>
        <w:adjustRightInd/>
        <w:spacing w:line="240" w:lineRule="auto"/>
        <w:ind w:firstLine="5670" w:firstLineChars="2700"/>
        <w:rPr>
          <w:color w:val="auto"/>
          <w:highlight w:val="none"/>
        </w:rPr>
      </w:pP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6A70EE44">
      <w:pPr>
        <w:keepNext w:val="0"/>
        <w:keepLines w:val="0"/>
        <w:pageBreakBefore w:val="0"/>
        <w:overflowPunct/>
        <w:topLinePunct w:val="0"/>
        <w:bidi w:val="0"/>
        <w:adjustRightInd/>
        <w:spacing w:line="240" w:lineRule="auto"/>
        <w:rPr>
          <w:rFonts w:ascii="黑体" w:hAnsi="黑体" w:eastAsia="黑体"/>
          <w:color w:val="auto"/>
          <w:highlight w:val="none"/>
        </w:rPr>
      </w:pPr>
      <w:r>
        <w:rPr>
          <w:rFonts w:hint="eastAsia" w:ascii="黑体" w:hAnsi="黑体" w:eastAsia="黑体"/>
          <w:color w:val="auto"/>
          <w:highlight w:val="none"/>
        </w:rPr>
        <w:br w:type="page"/>
      </w:r>
      <w:r>
        <w:rPr>
          <w:rFonts w:hint="eastAsia" w:ascii="黑体" w:hAnsi="黑体" w:eastAsia="黑体"/>
          <w:color w:val="auto"/>
          <w:highlight w:val="none"/>
        </w:rPr>
        <w:t>附表二：问题澄清通知</w:t>
      </w:r>
    </w:p>
    <w:p w14:paraId="1498FAB0">
      <w:pPr>
        <w:keepNext w:val="0"/>
        <w:keepLines w:val="0"/>
        <w:pageBreakBefore w:val="0"/>
        <w:overflowPunct/>
        <w:topLinePunct w:val="0"/>
        <w:bidi w:val="0"/>
        <w:spacing w:line="240" w:lineRule="auto"/>
        <w:jc w:val="center"/>
        <w:rPr>
          <w:rFonts w:ascii="黑体" w:eastAsia="黑体"/>
          <w:color w:val="auto"/>
          <w:sz w:val="28"/>
          <w:szCs w:val="28"/>
          <w:highlight w:val="none"/>
        </w:rPr>
      </w:pPr>
      <w:r>
        <w:rPr>
          <w:rFonts w:hint="eastAsia" w:ascii="黑体" w:eastAsia="黑体"/>
          <w:color w:val="auto"/>
          <w:sz w:val="28"/>
          <w:szCs w:val="28"/>
          <w:highlight w:val="none"/>
        </w:rPr>
        <w:t>问题澄清通知</w:t>
      </w:r>
    </w:p>
    <w:p w14:paraId="591F08AD">
      <w:pPr>
        <w:keepNext w:val="0"/>
        <w:keepLines w:val="0"/>
        <w:pageBreakBefore w:val="0"/>
        <w:overflowPunct/>
        <w:topLinePunct w:val="0"/>
        <w:bidi w:val="0"/>
        <w:spacing w:line="240" w:lineRule="auto"/>
        <w:ind w:firstLine="5565" w:firstLineChars="2650"/>
        <w:rPr>
          <w:color w:val="auto"/>
          <w:highlight w:val="none"/>
          <w:u w:val="single"/>
        </w:rPr>
      </w:pPr>
      <w:r>
        <w:rPr>
          <w:rFonts w:hint="eastAsia"/>
          <w:color w:val="auto"/>
          <w:highlight w:val="none"/>
        </w:rPr>
        <w:t>编号：</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p>
    <w:p w14:paraId="0AB97D97">
      <w:pPr>
        <w:keepNext w:val="0"/>
        <w:keepLines w:val="0"/>
        <w:pageBreakBefore w:val="0"/>
        <w:widowControl w:val="0"/>
        <w:tabs>
          <w:tab w:val="left" w:pos="125"/>
        </w:tabs>
        <w:kinsoku/>
        <w:wordWrap/>
        <w:overflowPunct/>
        <w:topLinePunct w:val="0"/>
        <w:autoSpaceDE/>
        <w:autoSpaceDN/>
        <w:bidi w:val="0"/>
        <w:adjustRightInd w:val="0"/>
        <w:snapToGrid w:val="0"/>
        <w:spacing w:before="81" w:line="400" w:lineRule="exact"/>
        <w:jc w:val="both"/>
        <w:textAlignment w:val="auto"/>
        <w:outlineLvl w:val="9"/>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pPr>
    </w:p>
    <w:p w14:paraId="23B270E6">
      <w:pPr>
        <w:keepNext w:val="0"/>
        <w:keepLines w:val="0"/>
        <w:pageBreakBefore w:val="0"/>
        <w:widowControl w:val="0"/>
        <w:tabs>
          <w:tab w:val="left" w:pos="125"/>
        </w:tabs>
        <w:kinsoku/>
        <w:wordWrap/>
        <w:overflowPunct/>
        <w:topLinePunct w:val="0"/>
        <w:autoSpaceDE/>
        <w:autoSpaceDN/>
        <w:bidi w:val="0"/>
        <w:adjustRightInd w:val="0"/>
        <w:snapToGrid w:val="0"/>
        <w:spacing w:before="220"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（投标人名称）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5C1AE847">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323F2D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8B567E8">
      <w:pPr>
        <w:keepNext w:val="0"/>
        <w:keepLines w:val="0"/>
        <w:pageBreakBefore w:val="0"/>
        <w:widowControl w:val="0"/>
        <w:tabs>
          <w:tab w:val="left" w:pos="3420"/>
        </w:tabs>
        <w:kinsoku/>
        <w:wordWrap/>
        <w:overflowPunct/>
        <w:topLinePunct w:val="0"/>
        <w:autoSpaceDE/>
        <w:autoSpaceDN/>
        <w:bidi w:val="0"/>
        <w:adjustRightInd w:val="0"/>
        <w:snapToGrid w:val="0"/>
        <w:spacing w:before="82"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（项目名称）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工程总承包招标的评标委员会，对你方的投标文件进行了仔细的审查，现需你方对下列问题以书面形式予以澄清：</w:t>
      </w:r>
    </w:p>
    <w:p w14:paraId="203CEA65">
      <w:pPr>
        <w:keepNext w:val="0"/>
        <w:keepLines w:val="0"/>
        <w:pageBreakBefore w:val="0"/>
        <w:widowControl w:val="0"/>
        <w:kinsoku/>
        <w:wordWrap/>
        <w:overflowPunct/>
        <w:topLinePunct w:val="0"/>
        <w:autoSpaceDE/>
        <w:autoSpaceDN/>
        <w:bidi w:val="0"/>
        <w:adjustRightInd w:val="0"/>
        <w:snapToGrid w:val="0"/>
        <w:spacing w:before="314" w:line="400" w:lineRule="exact"/>
        <w:ind w:left="46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p>
    <w:p w14:paraId="7CE2EE0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3CF2766">
      <w:pPr>
        <w:keepNext w:val="0"/>
        <w:keepLines w:val="0"/>
        <w:pageBreakBefore w:val="0"/>
        <w:widowControl w:val="0"/>
        <w:kinsoku/>
        <w:wordWrap/>
        <w:overflowPunct/>
        <w:topLinePunct w:val="0"/>
        <w:autoSpaceDE/>
        <w:autoSpaceDN/>
        <w:bidi w:val="0"/>
        <w:adjustRightInd w:val="0"/>
        <w:snapToGrid w:val="0"/>
        <w:spacing w:before="79" w:line="400" w:lineRule="exact"/>
        <w:ind w:left="45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p>
    <w:p w14:paraId="6207024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9D8AF88">
      <w:pPr>
        <w:keepNext w:val="0"/>
        <w:keepLines w:val="0"/>
        <w:pageBreakBefore w:val="0"/>
        <w:widowControl w:val="0"/>
        <w:kinsoku/>
        <w:wordWrap/>
        <w:overflowPunct/>
        <w:topLinePunct w:val="0"/>
        <w:autoSpaceDE/>
        <w:autoSpaceDN/>
        <w:bidi w:val="0"/>
        <w:adjustRightInd w:val="0"/>
        <w:snapToGrid w:val="0"/>
        <w:spacing w:before="78" w:line="400" w:lineRule="exact"/>
        <w:ind w:left="45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
          <w:sz w:val="21"/>
          <w:szCs w:val="21"/>
          <w:highlight w:val="none"/>
          <w14:textFill>
            <w14:solidFill>
              <w14:schemeClr w14:val="tx1"/>
            </w14:solidFill>
          </w14:textFill>
        </w:rPr>
        <w:t>......</w:t>
      </w:r>
    </w:p>
    <w:p w14:paraId="0D43EC6C">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B87533C">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E6A6127">
      <w:pPr>
        <w:keepNext w:val="0"/>
        <w:keepLines w:val="0"/>
        <w:pageBreakBefore w:val="0"/>
        <w:widowControl w:val="0"/>
        <w:kinsoku/>
        <w:wordWrap/>
        <w:overflowPunct/>
        <w:topLinePunct w:val="0"/>
        <w:autoSpaceDE/>
        <w:autoSpaceDN/>
        <w:bidi w:val="0"/>
        <w:adjustRightInd w:val="0"/>
        <w:snapToGrid w:val="0"/>
        <w:spacing w:before="79" w:line="400" w:lineRule="exact"/>
        <w:ind w:right="31"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请将上述问题的澄清于</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时前通过交易中心电子招标投标交易平台反馈。</w:t>
      </w:r>
    </w:p>
    <w:p w14:paraId="3AF07190">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EEFD8F8">
      <w:pPr>
        <w:keepNext w:val="0"/>
        <w:keepLines w:val="0"/>
        <w:pageBreakBefore w:val="0"/>
        <w:widowControl w:val="0"/>
        <w:kinsoku/>
        <w:wordWrap/>
        <w:overflowPunct/>
        <w:topLinePunct w:val="0"/>
        <w:autoSpaceDE/>
        <w:autoSpaceDN/>
        <w:bidi w:val="0"/>
        <w:adjustRightInd w:val="0"/>
        <w:snapToGrid w:val="0"/>
        <w:spacing w:before="78" w:line="400" w:lineRule="exact"/>
        <w:ind w:left="44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评标委员会负责人：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（签字）</w:t>
      </w:r>
    </w:p>
    <w:p w14:paraId="71344933">
      <w:pPr>
        <w:keepNext w:val="0"/>
        <w:keepLines w:val="0"/>
        <w:pageBreakBefore w:val="0"/>
        <w:overflowPunct/>
        <w:topLinePunct w:val="0"/>
        <w:bidi w:val="0"/>
        <w:adjustRightInd/>
        <w:spacing w:line="240" w:lineRule="auto"/>
        <w:ind w:firstLine="0" w:firstLineChars="0"/>
        <w:rPr>
          <w:rFonts w:hint="eastAsia"/>
          <w:color w:val="auto"/>
          <w:highlight w:val="none"/>
          <w:u w:val="single"/>
        </w:rPr>
      </w:pPr>
    </w:p>
    <w:p w14:paraId="4D3A82A2">
      <w:pPr>
        <w:keepNext w:val="0"/>
        <w:keepLines w:val="0"/>
        <w:pageBreakBefore w:val="0"/>
        <w:overflowPunct/>
        <w:topLinePunct w:val="0"/>
        <w:bidi w:val="0"/>
        <w:adjustRightInd/>
        <w:spacing w:line="240" w:lineRule="auto"/>
        <w:ind w:firstLine="0" w:firstLineChars="0"/>
        <w:jc w:val="both"/>
        <w:rPr>
          <w:rFonts w:ascii="Times New Roman" w:hAnsi="Times New Roman"/>
          <w:color w:val="auto"/>
          <w:highlight w:val="none"/>
          <w:u w:val="none"/>
        </w:rPr>
      </w:pPr>
    </w:p>
    <w:p w14:paraId="1625D74A">
      <w:pPr>
        <w:keepNext w:val="0"/>
        <w:keepLines w:val="0"/>
        <w:pageBreakBefore w:val="0"/>
        <w:overflowPunct/>
        <w:topLinePunct w:val="0"/>
        <w:bidi w:val="0"/>
        <w:adjustRightInd/>
        <w:spacing w:line="240" w:lineRule="auto"/>
        <w:ind w:firstLine="4620" w:firstLineChars="2200"/>
        <w:jc w:val="both"/>
        <w:rPr>
          <w:rFonts w:ascii="Times New Roman" w:hAnsi="Times New Roman"/>
          <w:color w:val="auto"/>
          <w:highlight w:val="none"/>
        </w:rPr>
      </w:pP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hint="default" w:ascii="Times New Roman"/>
          <w:color w:val="auto"/>
          <w:highlight w:val="none"/>
        </w:rPr>
        <w:t>年</w:t>
      </w:r>
      <w:r>
        <w:rPr>
          <w:rFonts w:ascii="Times New Roman" w:hAnsi="Times New Roman"/>
          <w:color w:val="auto"/>
          <w:highlight w:val="none"/>
          <w:u w:val="single"/>
        </w:rPr>
        <w:t xml:space="preserve">       </w:t>
      </w:r>
      <w:r>
        <w:rPr>
          <w:rFonts w:hint="default" w:ascii="Times New Roman"/>
          <w:color w:val="auto"/>
          <w:highlight w:val="none"/>
        </w:rPr>
        <w:t>月</w:t>
      </w:r>
      <w:r>
        <w:rPr>
          <w:rFonts w:ascii="Times New Roman" w:hAnsi="Times New Roman"/>
          <w:color w:val="auto"/>
          <w:highlight w:val="none"/>
          <w:u w:val="single"/>
        </w:rPr>
        <w:t xml:space="preserve">       </w:t>
      </w:r>
      <w:r>
        <w:rPr>
          <w:rFonts w:hint="default" w:ascii="Times New Roman"/>
          <w:color w:val="auto"/>
          <w:highlight w:val="none"/>
        </w:rPr>
        <w:t>日</w:t>
      </w:r>
    </w:p>
    <w:p w14:paraId="2385ED4F">
      <w:pPr>
        <w:keepNext w:val="0"/>
        <w:keepLines w:val="0"/>
        <w:pageBreakBefore w:val="0"/>
        <w:overflowPunct/>
        <w:topLinePunct w:val="0"/>
        <w:bidi w:val="0"/>
        <w:adjustRightInd/>
        <w:spacing w:line="240" w:lineRule="auto"/>
        <w:rPr>
          <w:rFonts w:ascii="黑体" w:hAns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52DE072F">
      <w:pPr>
        <w:keepNext w:val="0"/>
        <w:keepLines w:val="0"/>
        <w:pageBreakBefore w:val="0"/>
        <w:overflowPunct/>
        <w:topLinePunct w:val="0"/>
        <w:bidi w:val="0"/>
        <w:spacing w:line="240" w:lineRule="auto"/>
        <w:jc w:val="center"/>
        <w:rPr>
          <w:rFonts w:ascii="黑体" w:eastAsia="黑体"/>
          <w:color w:val="auto"/>
          <w:sz w:val="28"/>
          <w:szCs w:val="28"/>
          <w:highlight w:val="none"/>
        </w:rPr>
      </w:pPr>
      <w:r>
        <w:rPr>
          <w:rFonts w:hint="eastAsia" w:ascii="黑体" w:eastAsia="黑体"/>
          <w:color w:val="auto"/>
          <w:sz w:val="28"/>
          <w:szCs w:val="28"/>
          <w:highlight w:val="none"/>
        </w:rPr>
        <w:t>问题的澄清</w:t>
      </w:r>
    </w:p>
    <w:p w14:paraId="72DEA319">
      <w:pPr>
        <w:keepNext w:val="0"/>
        <w:keepLines w:val="0"/>
        <w:pageBreakBefore w:val="0"/>
        <w:overflowPunct/>
        <w:topLinePunct w:val="0"/>
        <w:bidi w:val="0"/>
        <w:spacing w:line="240" w:lineRule="auto"/>
        <w:ind w:firstLine="5355" w:firstLineChars="2550"/>
        <w:rPr>
          <w:color w:val="auto"/>
          <w:highlight w:val="none"/>
          <w:u w:val="single"/>
        </w:rPr>
      </w:pPr>
      <w:r>
        <w:rPr>
          <w:rFonts w:hint="eastAsia"/>
          <w:color w:val="auto"/>
          <w:highlight w:val="none"/>
        </w:rPr>
        <w:t>编号：</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p>
    <w:p w14:paraId="2F4C1F90">
      <w:pPr>
        <w:keepNext w:val="0"/>
        <w:keepLines w:val="0"/>
        <w:pageBreakBefore w:val="0"/>
        <w:overflowPunct/>
        <w:topLinePunct w:val="0"/>
        <w:bidi w:val="0"/>
        <w:adjustRightInd/>
        <w:spacing w:line="240" w:lineRule="auto"/>
        <w:rPr>
          <w:rFonts w:hint="eastAsia"/>
          <w:color w:val="auto"/>
          <w:highlight w:val="none"/>
          <w:u w:val="single"/>
        </w:rPr>
      </w:pPr>
    </w:p>
    <w:p w14:paraId="78711B87">
      <w:pPr>
        <w:keepNext w:val="0"/>
        <w:keepLines w:val="0"/>
        <w:pageBreakBefore w:val="0"/>
        <w:widowControl w:val="0"/>
        <w:tabs>
          <w:tab w:val="left" w:pos="125"/>
        </w:tabs>
        <w:kinsoku/>
        <w:wordWrap/>
        <w:overflowPunct/>
        <w:topLinePunct w:val="0"/>
        <w:autoSpaceDE/>
        <w:autoSpaceDN/>
        <w:bidi w:val="0"/>
        <w:adjustRightInd w:val="0"/>
        <w:snapToGrid w:val="0"/>
        <w:spacing w:before="81"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（项目名称）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工程总承包招标评标委员会：</w:t>
      </w:r>
    </w:p>
    <w:p w14:paraId="1740BCA0">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238D0DC">
      <w:pPr>
        <w:keepNext w:val="0"/>
        <w:keepLines w:val="0"/>
        <w:pageBreakBefore w:val="0"/>
        <w:widowControl w:val="0"/>
        <w:kinsoku/>
        <w:wordWrap/>
        <w:overflowPunct/>
        <w:topLinePunct w:val="0"/>
        <w:autoSpaceDE/>
        <w:autoSpaceDN/>
        <w:bidi w:val="0"/>
        <w:adjustRightInd w:val="0"/>
        <w:snapToGrid w:val="0"/>
        <w:spacing w:before="79" w:line="400" w:lineRule="exact"/>
        <w:ind w:left="5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问题澄清通知（编号：</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）已收悉，现澄清如下：</w:t>
      </w:r>
    </w:p>
    <w:p w14:paraId="2B60C3B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0BDC6A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9F82AE6">
      <w:pPr>
        <w:keepNext w:val="0"/>
        <w:keepLines w:val="0"/>
        <w:pageBreakBefore w:val="0"/>
        <w:widowControl w:val="0"/>
        <w:kinsoku/>
        <w:wordWrap/>
        <w:overflowPunct/>
        <w:topLinePunct w:val="0"/>
        <w:autoSpaceDE/>
        <w:autoSpaceDN/>
        <w:bidi w:val="0"/>
        <w:adjustRightInd w:val="0"/>
        <w:snapToGrid w:val="0"/>
        <w:spacing w:before="78" w:line="400" w:lineRule="exact"/>
        <w:ind w:left="46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p>
    <w:p w14:paraId="5EDC484E">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5D589D6">
      <w:pPr>
        <w:keepNext w:val="0"/>
        <w:keepLines w:val="0"/>
        <w:pageBreakBefore w:val="0"/>
        <w:widowControl w:val="0"/>
        <w:kinsoku/>
        <w:wordWrap/>
        <w:overflowPunct/>
        <w:topLinePunct w:val="0"/>
        <w:autoSpaceDE/>
        <w:autoSpaceDN/>
        <w:bidi w:val="0"/>
        <w:adjustRightInd w:val="0"/>
        <w:snapToGrid w:val="0"/>
        <w:spacing w:before="79" w:line="400" w:lineRule="exact"/>
        <w:ind w:left="45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p>
    <w:p w14:paraId="703927F9">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627F002">
      <w:pPr>
        <w:keepNext w:val="0"/>
        <w:keepLines w:val="0"/>
        <w:pageBreakBefore w:val="0"/>
        <w:widowControl w:val="0"/>
        <w:kinsoku/>
        <w:wordWrap/>
        <w:overflowPunct/>
        <w:topLinePunct w:val="0"/>
        <w:autoSpaceDE/>
        <w:autoSpaceDN/>
        <w:bidi w:val="0"/>
        <w:adjustRightInd w:val="0"/>
        <w:snapToGrid w:val="0"/>
        <w:spacing w:before="79" w:line="400" w:lineRule="exact"/>
        <w:ind w:left="45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
          <w:sz w:val="21"/>
          <w:szCs w:val="21"/>
          <w:highlight w:val="none"/>
          <w14:textFill>
            <w14:solidFill>
              <w14:schemeClr w14:val="tx1"/>
            </w14:solidFill>
          </w14:textFill>
        </w:rPr>
        <w:t>.....</w:t>
      </w:r>
    </w:p>
    <w:p w14:paraId="42EA71DD">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2ABDFC55">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1E3CBA40">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1691067A">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7BC7306C">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0473DA2C">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ascii="Times New Roman" w:hAnsi="Times New Roman"/>
          <w:color w:val="auto"/>
          <w:highlight w:val="none"/>
        </w:rPr>
      </w:pPr>
    </w:p>
    <w:p w14:paraId="4991E29D">
      <w:pPr>
        <w:keepNext w:val="0"/>
        <w:keepLines w:val="0"/>
        <w:pageBreakBefore w:val="0"/>
        <w:widowControl w:val="0"/>
        <w:kinsoku/>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color w:val="auto"/>
          <w:highlight w:val="none"/>
        </w:rPr>
      </w:pPr>
      <w:r>
        <w:rPr>
          <w:rFonts w:hint="default" w:ascii="Times New Roman" w:hAnsi="Times New Roman" w:eastAsia="黑体"/>
          <w:color w:val="auto"/>
          <w:highlight w:val="none"/>
        </w:rPr>
        <w:t xml:space="preserve">     </w:t>
      </w:r>
      <w:r>
        <w:rPr>
          <w:rFonts w:hint="eastAsia" w:ascii="宋体" w:hAnsi="宋体" w:eastAsia="宋体" w:cs="宋体"/>
          <w:color w:val="auto"/>
          <w:highlight w:val="none"/>
        </w:rPr>
        <w:t xml:space="preserve">     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（单位名称）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08ACD63B">
      <w:pPr>
        <w:keepNext w:val="0"/>
        <w:keepLines w:val="0"/>
        <w:pageBreakBefore w:val="0"/>
        <w:widowControl w:val="0"/>
        <w:kinsoku/>
        <w:overflowPunct/>
        <w:topLinePunct w:val="0"/>
        <w:autoSpaceDE/>
        <w:autoSpaceDN/>
        <w:bidi w:val="0"/>
        <w:adjustRightInd/>
        <w:snapToGrid/>
        <w:spacing w:line="360" w:lineRule="auto"/>
        <w:ind w:right="0" w:firstLine="420" w:firstLineChars="200"/>
        <w:jc w:val="right"/>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（签字或盖章）      </w:t>
      </w:r>
    </w:p>
    <w:p w14:paraId="63AF9D55">
      <w:pPr>
        <w:keepNext w:val="0"/>
        <w:keepLines w:val="0"/>
        <w:pageBreakBefore w:val="0"/>
        <w:widowControl w:val="0"/>
        <w:kinsoku/>
        <w:wordWrap w:val="0"/>
        <w:overflowPunct/>
        <w:topLinePunct w:val="0"/>
        <w:autoSpaceDE/>
        <w:autoSpaceDN/>
        <w:bidi w:val="0"/>
        <w:adjustRightInd/>
        <w:snapToGrid/>
        <w:spacing w:line="360" w:lineRule="auto"/>
        <w:ind w:right="420" w:rightChars="200" w:firstLine="420" w:firstLineChars="200"/>
        <w:jc w:val="righ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CC8EB22">
      <w:pPr>
        <w:keepNext w:val="0"/>
        <w:keepLines w:val="0"/>
        <w:pageBreakBefore w:val="0"/>
        <w:overflowPunct/>
        <w:topLinePunct w:val="0"/>
        <w:bidi w:val="0"/>
        <w:adjustRightInd/>
        <w:spacing w:line="240" w:lineRule="auto"/>
        <w:rPr>
          <w:rFonts w:ascii="黑体" w:hAns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3C58D57B">
      <w:pPr>
        <w:keepNext w:val="0"/>
        <w:keepLines w:val="0"/>
        <w:pageBreakBefore w:val="0"/>
        <w:overflowPunct/>
        <w:topLinePunct w:val="0"/>
        <w:bidi w:val="0"/>
        <w:spacing w:line="240" w:lineRule="auto"/>
        <w:jc w:val="center"/>
        <w:rPr>
          <w:rFonts w:ascii="黑体" w:eastAsia="黑体"/>
          <w:color w:val="auto"/>
          <w:sz w:val="28"/>
          <w:szCs w:val="28"/>
          <w:highlight w:val="none"/>
        </w:rPr>
      </w:pPr>
      <w:r>
        <w:rPr>
          <w:rFonts w:hint="eastAsia" w:ascii="黑体" w:eastAsia="黑体"/>
          <w:color w:val="auto"/>
          <w:sz w:val="28"/>
          <w:szCs w:val="28"/>
          <w:highlight w:val="none"/>
        </w:rPr>
        <w:t>中标通知书</w:t>
      </w:r>
    </w:p>
    <w:p w14:paraId="701AC3EA">
      <w:pPr>
        <w:keepNext w:val="0"/>
        <w:keepLines w:val="0"/>
        <w:pageBreakBefore w:val="0"/>
        <w:overflowPunct/>
        <w:topLinePunct w:val="0"/>
        <w:bidi w:val="0"/>
        <w:adjustRightInd/>
        <w:spacing w:line="240" w:lineRule="auto"/>
        <w:rPr>
          <w:rFonts w:ascii="Times New Roman" w:hAnsi="Times New Roman"/>
          <w:color w:val="auto"/>
          <w:highlight w:val="none"/>
        </w:rPr>
      </w:pPr>
      <w:r>
        <w:rPr>
          <w:rFonts w:hint="default" w:ascii="Times New Roman" w:hAnsi="Times New Roman"/>
          <w:color w:val="auto"/>
          <w:highlight w:val="none"/>
          <w:u w:val="single"/>
        </w:rPr>
        <w:t xml:space="preserve">               </w:t>
      </w:r>
      <w:r>
        <w:rPr>
          <w:rFonts w:hint="default" w:ascii="Times New Roman"/>
          <w:color w:val="auto"/>
          <w:highlight w:val="none"/>
          <w:u w:val="single"/>
        </w:rPr>
        <w:t>（中标人名称）</w:t>
      </w:r>
      <w:r>
        <w:rPr>
          <w:rFonts w:hint="default" w:ascii="Times New Roman"/>
          <w:color w:val="auto"/>
          <w:highlight w:val="none"/>
        </w:rPr>
        <w:t>：</w:t>
      </w:r>
    </w:p>
    <w:p w14:paraId="57F94C0C">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6C5BE3F7">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r>
        <w:rPr>
          <w:rFonts w:hint="default" w:ascii="Times New Roman"/>
          <w:color w:val="auto"/>
          <w:highlight w:val="none"/>
        </w:rPr>
        <w:t>你方于</w:t>
      </w:r>
      <w:r>
        <w:rPr>
          <w:rFonts w:hint="default" w:ascii="Times New Roman" w:hAnsi="Times New Roman"/>
          <w:color w:val="auto"/>
          <w:highlight w:val="none"/>
          <w:u w:val="single"/>
        </w:rPr>
        <w:t xml:space="preserve">             </w:t>
      </w:r>
      <w:r>
        <w:rPr>
          <w:rFonts w:hint="default" w:ascii="Times New Roman"/>
          <w:color w:val="auto"/>
          <w:highlight w:val="none"/>
          <w:u w:val="single"/>
        </w:rPr>
        <w:t>（投标日期）</w:t>
      </w:r>
      <w:r>
        <w:rPr>
          <w:rFonts w:hint="default" w:ascii="Times New Roman"/>
          <w:color w:val="auto"/>
          <w:highlight w:val="none"/>
        </w:rPr>
        <w:t>所递交的</w:t>
      </w:r>
      <w:r>
        <w:rPr>
          <w:rFonts w:hint="default" w:ascii="Times New Roman" w:hAnsi="Times New Roman"/>
          <w:color w:val="auto"/>
          <w:highlight w:val="none"/>
          <w:u w:val="single"/>
        </w:rPr>
        <w:t xml:space="preserve">          </w:t>
      </w:r>
      <w:r>
        <w:rPr>
          <w:rFonts w:hint="default" w:ascii="Times New Roman"/>
          <w:color w:val="auto"/>
          <w:highlight w:val="none"/>
          <w:u w:val="single"/>
        </w:rPr>
        <w:t>（项目名称）</w:t>
      </w:r>
      <w:r>
        <w:rPr>
          <w:rFonts w:hint="default" w:ascii="Times New Roman" w:hAnsi="Times New Roman"/>
          <w:color w:val="auto"/>
          <w:highlight w:val="none"/>
          <w:u w:val="single"/>
        </w:rPr>
        <w:t xml:space="preserve">       </w:t>
      </w:r>
      <w:r>
        <w:rPr>
          <w:rFonts w:hint="default" w:ascii="Times New Roman"/>
          <w:color w:val="auto"/>
          <w:highlight w:val="none"/>
        </w:rPr>
        <w:t>标段</w:t>
      </w:r>
      <w:r>
        <w:rPr>
          <w:rFonts w:hint="eastAsia"/>
          <w:color w:val="auto"/>
          <w:highlight w:val="none"/>
          <w:lang w:eastAsia="zh-CN"/>
        </w:rPr>
        <w:t>工程总承包</w:t>
      </w:r>
      <w:r>
        <w:rPr>
          <w:rFonts w:hint="default" w:ascii="Times New Roman"/>
          <w:color w:val="auto"/>
          <w:highlight w:val="none"/>
        </w:rPr>
        <w:t>投标文件已被我方接受，被确定为中标人。</w:t>
      </w:r>
    </w:p>
    <w:p w14:paraId="365201F6">
      <w:pPr>
        <w:shd w:val="clear" w:color="auto" w:fill="auto"/>
        <w:spacing w:line="360" w:lineRule="auto"/>
        <w:ind w:firstLine="420" w:firstLineChars="200"/>
        <w:rPr>
          <w:rFonts w:hint="eastAsia"/>
          <w:color w:val="auto"/>
          <w:highlight w:val="none"/>
          <w:u w:val="none"/>
          <w:shd w:val="clear" w:color="auto" w:fill="auto"/>
          <w:lang w:val="en-US" w:eastAsia="zh-CN"/>
        </w:rPr>
      </w:pPr>
    </w:p>
    <w:p w14:paraId="01B83A75">
      <w:pPr>
        <w:shd w:val="clear" w:color="auto" w:fill="auto"/>
        <w:spacing w:line="360" w:lineRule="auto"/>
        <w:ind w:firstLine="420" w:firstLineChars="200"/>
        <w:rPr>
          <w:rFonts w:hint="eastAsia"/>
          <w:color w:val="auto"/>
          <w:highlight w:val="none"/>
          <w:u w:val="none"/>
          <w:shd w:val="clear" w:color="auto" w:fill="auto"/>
          <w:lang w:val="en-US" w:eastAsia="zh-CN"/>
        </w:rPr>
      </w:pPr>
      <w:r>
        <w:rPr>
          <w:rFonts w:hint="eastAsia"/>
          <w:color w:val="auto"/>
          <w:highlight w:val="none"/>
          <w:u w:val="none"/>
          <w:shd w:val="clear" w:color="auto" w:fill="auto"/>
          <w:lang w:val="en-US" w:eastAsia="zh-CN"/>
        </w:rPr>
        <w:t>中 标 价：</w:t>
      </w:r>
      <w:r>
        <w:rPr>
          <w:rFonts w:hint="eastAsia"/>
          <w:color w:val="auto"/>
          <w:highlight w:val="none"/>
          <w:u w:val="single"/>
          <w:shd w:val="clear" w:color="auto" w:fill="auto"/>
          <w:lang w:val="en-US" w:eastAsia="zh-CN"/>
        </w:rPr>
        <w:t xml:space="preserve">                         </w:t>
      </w:r>
      <w:r>
        <w:rPr>
          <w:rFonts w:hint="eastAsia"/>
          <w:color w:val="auto"/>
          <w:highlight w:val="none"/>
          <w:u w:val="none"/>
          <w:shd w:val="clear" w:color="auto" w:fill="auto"/>
          <w:lang w:val="en-US" w:eastAsia="zh-CN"/>
        </w:rPr>
        <w:t>元。</w:t>
      </w:r>
    </w:p>
    <w:p w14:paraId="72AE399C">
      <w:pPr>
        <w:shd w:val="clear" w:color="auto" w:fill="auto"/>
        <w:spacing w:line="360" w:lineRule="auto"/>
        <w:ind w:firstLine="420" w:firstLineChars="200"/>
        <w:rPr>
          <w:color w:val="auto"/>
          <w:highlight w:val="none"/>
          <w:shd w:val="clear" w:color="auto" w:fill="auto"/>
        </w:rPr>
      </w:pPr>
      <w:r>
        <w:rPr>
          <w:rFonts w:hint="eastAsia"/>
          <w:color w:val="auto"/>
          <w:highlight w:val="none"/>
          <w:u w:val="none"/>
          <w:shd w:val="clear" w:color="auto" w:fill="auto"/>
          <w:lang w:val="en-US" w:eastAsia="zh-CN"/>
        </w:rPr>
        <w:t>工    期：</w:t>
      </w:r>
      <w:r>
        <w:rPr>
          <w:rFonts w:hint="eastAsia"/>
          <w:color w:val="auto"/>
          <w:highlight w:val="none"/>
          <w:u w:val="single"/>
          <w:shd w:val="clear" w:color="auto" w:fill="auto"/>
          <w:lang w:val="en-US" w:eastAsia="zh-CN"/>
        </w:rPr>
        <w:t xml:space="preserve">                     </w:t>
      </w:r>
      <w:r>
        <w:rPr>
          <w:rFonts w:hint="eastAsia"/>
          <w:color w:val="auto"/>
          <w:highlight w:val="none"/>
          <w:u w:val="none"/>
          <w:shd w:val="clear" w:color="auto" w:fill="auto"/>
          <w:lang w:val="en-US" w:eastAsia="zh-CN"/>
        </w:rPr>
        <w:t>日历天。</w:t>
      </w:r>
    </w:p>
    <w:p w14:paraId="49AA3096">
      <w:pPr>
        <w:keepNext w:val="0"/>
        <w:keepLines w:val="0"/>
        <w:widowControl/>
        <w:suppressLineNumbers w:val="0"/>
        <w:shd w:val="clear" w:color="auto" w:fill="auto"/>
        <w:spacing w:line="360" w:lineRule="auto"/>
        <w:ind w:firstLine="420" w:firstLineChars="200"/>
        <w:jc w:val="left"/>
        <w:rPr>
          <w:color w:val="auto"/>
          <w:highlight w:val="none"/>
          <w:shd w:val="clear" w:color="auto" w:fill="auto"/>
        </w:rPr>
      </w:pPr>
      <w:r>
        <w:rPr>
          <w:rFonts w:hint="eastAsia"/>
          <w:color w:val="auto"/>
          <w:highlight w:val="none"/>
          <w:shd w:val="clear" w:color="auto" w:fill="auto"/>
        </w:rPr>
        <w:t>项目负责人：</w:t>
      </w:r>
      <w:r>
        <w:rPr>
          <w:rFonts w:hint="eastAsia"/>
          <w:color w:val="auto"/>
          <w:highlight w:val="none"/>
          <w:u w:val="single"/>
          <w:shd w:val="clear" w:color="auto" w:fill="auto"/>
          <w:lang w:val="en-US" w:eastAsia="zh-CN"/>
        </w:rPr>
        <w:t xml:space="preserve">                       </w:t>
      </w:r>
      <w:r>
        <w:rPr>
          <w:rFonts w:hint="eastAsia"/>
          <w:color w:val="auto"/>
          <w:highlight w:val="none"/>
          <w:shd w:val="clear" w:color="auto" w:fill="auto"/>
        </w:rPr>
        <w:t>。</w:t>
      </w:r>
    </w:p>
    <w:p w14:paraId="2C550E9A">
      <w:pPr>
        <w:keepNext w:val="0"/>
        <w:keepLines w:val="0"/>
        <w:widowControl/>
        <w:suppressLineNumbers w:val="0"/>
        <w:shd w:val="clear" w:color="auto" w:fill="auto"/>
        <w:spacing w:line="360" w:lineRule="auto"/>
        <w:ind w:firstLine="420" w:firstLineChars="200"/>
        <w:jc w:val="left"/>
        <w:rPr>
          <w:rFonts w:hint="eastAsia" w:ascii="Calibri" w:hAnsi="Calibri" w:eastAsia="宋体" w:cs="Times New Roman"/>
          <w:color w:val="auto"/>
          <w:kern w:val="2"/>
          <w:sz w:val="21"/>
          <w:szCs w:val="24"/>
          <w:highlight w:val="none"/>
          <w:shd w:val="clear" w:color="auto" w:fill="auto"/>
          <w:lang w:val="en-US" w:eastAsia="zh-CN" w:bidi="ar-SA"/>
        </w:rPr>
      </w:pPr>
      <w:r>
        <w:rPr>
          <w:rFonts w:hint="eastAsia" w:ascii="Calibri" w:hAnsi="Calibri" w:eastAsia="宋体" w:cs="Times New Roman"/>
          <w:color w:val="auto"/>
          <w:kern w:val="2"/>
          <w:sz w:val="21"/>
          <w:szCs w:val="24"/>
          <w:highlight w:val="none"/>
          <w:shd w:val="clear" w:color="auto" w:fill="auto"/>
          <w:lang w:val="en-US" w:eastAsia="zh-CN" w:bidi="ar-SA"/>
        </w:rPr>
        <w:t>设计负责人：</w:t>
      </w:r>
      <w:r>
        <w:rPr>
          <w:rFonts w:hint="eastAsia"/>
          <w:color w:val="auto"/>
          <w:highlight w:val="none"/>
          <w:u w:val="single"/>
          <w:shd w:val="clear" w:color="auto" w:fill="auto"/>
          <w:lang w:val="en-US" w:eastAsia="zh-CN"/>
        </w:rPr>
        <w:t xml:space="preserve">                       </w:t>
      </w:r>
      <w:r>
        <w:rPr>
          <w:rFonts w:hint="eastAsia"/>
          <w:color w:val="auto"/>
          <w:highlight w:val="none"/>
          <w:shd w:val="clear" w:color="auto" w:fill="auto"/>
        </w:rPr>
        <w:t>。</w:t>
      </w:r>
    </w:p>
    <w:p w14:paraId="0BE178A2">
      <w:pPr>
        <w:keepNext w:val="0"/>
        <w:keepLines w:val="0"/>
        <w:widowControl/>
        <w:suppressLineNumbers w:val="0"/>
        <w:shd w:val="clear" w:color="auto" w:fill="auto"/>
        <w:spacing w:line="360" w:lineRule="auto"/>
        <w:ind w:firstLine="420" w:firstLineChars="200"/>
        <w:jc w:val="left"/>
        <w:rPr>
          <w:rFonts w:hint="eastAsia"/>
          <w:lang w:val="en-US" w:eastAsia="zh-CN"/>
        </w:rPr>
      </w:pPr>
      <w:r>
        <w:rPr>
          <w:rFonts w:hint="eastAsia" w:ascii="Calibri" w:hAnsi="Calibri" w:eastAsia="宋体" w:cs="Times New Roman"/>
          <w:color w:val="auto"/>
          <w:kern w:val="2"/>
          <w:sz w:val="21"/>
          <w:szCs w:val="24"/>
          <w:highlight w:val="none"/>
          <w:shd w:val="clear" w:color="auto" w:fill="auto"/>
          <w:lang w:val="en-US" w:eastAsia="zh-CN" w:bidi="ar-SA"/>
        </w:rPr>
        <w:t>施工负责人：</w:t>
      </w:r>
      <w:r>
        <w:rPr>
          <w:rFonts w:hint="eastAsia"/>
          <w:color w:val="auto"/>
          <w:highlight w:val="none"/>
          <w:u w:val="single"/>
          <w:shd w:val="clear" w:color="auto" w:fill="auto"/>
          <w:lang w:val="en-US" w:eastAsia="zh-CN"/>
        </w:rPr>
        <w:t xml:space="preserve">                       </w:t>
      </w:r>
      <w:r>
        <w:rPr>
          <w:rFonts w:hint="eastAsia"/>
          <w:color w:val="auto"/>
          <w:highlight w:val="none"/>
          <w:shd w:val="clear" w:color="auto" w:fill="auto"/>
        </w:rPr>
        <w:t>。</w:t>
      </w:r>
    </w:p>
    <w:p w14:paraId="7BB75846">
      <w:pPr>
        <w:pStyle w:val="20"/>
        <w:shd w:val="clear" w:color="auto" w:fill="auto"/>
        <w:spacing w:line="360" w:lineRule="auto"/>
        <w:ind w:firstLine="420" w:firstLineChars="200"/>
        <w:rPr>
          <w:rFonts w:hint="eastAsia" w:ascii="Times New Roman"/>
          <w:color w:val="auto"/>
          <w:highlight w:val="none"/>
        </w:rPr>
      </w:pPr>
      <w:r>
        <w:rPr>
          <w:rFonts w:hint="eastAsia" w:ascii="Calibri" w:hAnsi="Calibri" w:eastAsia="宋体" w:cs="Times New Roman"/>
          <w:color w:val="auto"/>
          <w:kern w:val="2"/>
          <w:sz w:val="21"/>
          <w:szCs w:val="24"/>
          <w:highlight w:val="none"/>
          <w:shd w:val="clear" w:color="auto" w:fill="auto"/>
          <w:lang w:val="en-US" w:eastAsia="zh-CN" w:bidi="ar-SA"/>
        </w:rPr>
        <w:t>中标内容范围：</w:t>
      </w:r>
      <w:r>
        <w:rPr>
          <w:rFonts w:hint="eastAsia" w:ascii="Calibri" w:hAnsi="Calibri" w:eastAsia="宋体" w:cs="Times New Roman"/>
          <w:color w:val="auto"/>
          <w:kern w:val="2"/>
          <w:sz w:val="21"/>
          <w:szCs w:val="24"/>
          <w:highlight w:val="none"/>
          <w:u w:val="single"/>
          <w:shd w:val="clear" w:color="auto" w:fill="auto"/>
          <w:lang w:val="en-US" w:eastAsia="zh-CN" w:bidi="ar-SA"/>
        </w:rPr>
        <w:t>（应与招标公告、招标文件内容一致）</w:t>
      </w:r>
      <w:r>
        <w:rPr>
          <w:rFonts w:hint="eastAsia" w:ascii="Calibri" w:hAnsi="Calibri" w:eastAsia="宋体" w:cs="Times New Roman"/>
          <w:color w:val="auto"/>
          <w:kern w:val="2"/>
          <w:sz w:val="21"/>
          <w:szCs w:val="24"/>
          <w:highlight w:val="none"/>
          <w:shd w:val="clear" w:color="auto" w:fill="auto"/>
          <w:lang w:val="en-US" w:eastAsia="zh-CN" w:bidi="ar-SA"/>
        </w:rPr>
        <w:t xml:space="preserve"> 。</w:t>
      </w:r>
    </w:p>
    <w:p w14:paraId="63524D2A">
      <w:pPr>
        <w:keepNext w:val="0"/>
        <w:keepLines w:val="0"/>
        <w:pageBreakBefore w:val="0"/>
        <w:overflowPunct/>
        <w:topLinePunct w:val="0"/>
        <w:bidi w:val="0"/>
        <w:adjustRightInd/>
        <w:spacing w:line="240" w:lineRule="auto"/>
        <w:ind w:firstLine="420" w:firstLineChars="200"/>
        <w:jc w:val="both"/>
        <w:rPr>
          <w:rFonts w:ascii="Times New Roman" w:hAnsi="Times New Roman"/>
          <w:color w:val="auto"/>
          <w:highlight w:val="none"/>
        </w:rPr>
      </w:pPr>
      <w:r>
        <w:rPr>
          <w:rFonts w:hint="default" w:ascii="Times New Roman"/>
          <w:color w:val="auto"/>
          <w:highlight w:val="none"/>
        </w:rPr>
        <w:t>请你方在接到本通知书后的</w:t>
      </w:r>
      <w:r>
        <w:rPr>
          <w:rFonts w:ascii="Times New Roman" w:hAnsi="Times New Roman"/>
          <w:color w:val="auto"/>
          <w:highlight w:val="none"/>
          <w:u w:val="single"/>
        </w:rPr>
        <w:t xml:space="preserve">      </w:t>
      </w:r>
      <w:r>
        <w:rPr>
          <w:rFonts w:hint="default" w:ascii="Times New Roman"/>
          <w:color w:val="auto"/>
          <w:highlight w:val="none"/>
        </w:rPr>
        <w:t>日内到</w:t>
      </w:r>
      <w:r>
        <w:rPr>
          <w:rFonts w:ascii="Times New Roman" w:hAnsi="Times New Roman"/>
          <w:color w:val="auto"/>
          <w:highlight w:val="none"/>
          <w:u w:val="single"/>
        </w:rPr>
        <w:t xml:space="preserve">                         </w:t>
      </w:r>
      <w:r>
        <w:rPr>
          <w:rFonts w:hint="default" w:ascii="Times New Roman"/>
          <w:color w:val="auto"/>
          <w:highlight w:val="none"/>
        </w:rPr>
        <w:t>（指定地点）与我方签订</w:t>
      </w:r>
      <w:r>
        <w:rPr>
          <w:rFonts w:hint="eastAsia"/>
          <w:color w:val="auto"/>
          <w:highlight w:val="none"/>
          <w:lang w:eastAsia="zh-CN"/>
        </w:rPr>
        <w:t>工程总承包</w:t>
      </w:r>
      <w:r>
        <w:rPr>
          <w:rFonts w:hint="default" w:ascii="Times New Roman"/>
          <w:color w:val="auto"/>
          <w:highlight w:val="none"/>
        </w:rPr>
        <w:t>合同，在此</w:t>
      </w:r>
      <w:r>
        <w:rPr>
          <w:rFonts w:hint="default" w:ascii="宋体" w:hAnsi="宋体"/>
          <w:color w:val="auto"/>
          <w:highlight w:val="none"/>
        </w:rPr>
        <w:t>之前按招标文件第二章“投标人须知”第</w:t>
      </w:r>
      <w:r>
        <w:rPr>
          <w:rFonts w:hint="default" w:ascii="Times New Roman" w:hAnsi="Times New Roman"/>
          <w:color w:val="auto"/>
          <w:highlight w:val="none"/>
        </w:rPr>
        <w:t>7.</w:t>
      </w:r>
      <w:r>
        <w:rPr>
          <w:rFonts w:hint="eastAsia"/>
          <w:color w:val="auto"/>
          <w:highlight w:val="none"/>
          <w:lang w:val="en-US" w:eastAsia="zh-CN"/>
        </w:rPr>
        <w:t>3</w:t>
      </w:r>
      <w:r>
        <w:rPr>
          <w:rFonts w:hint="default" w:ascii="Times New Roman"/>
          <w:color w:val="auto"/>
          <w:highlight w:val="none"/>
        </w:rPr>
        <w:t>款规定向我方提交履约担保。</w:t>
      </w:r>
    </w:p>
    <w:p w14:paraId="3B46BEB9">
      <w:pPr>
        <w:keepNext w:val="0"/>
        <w:keepLines w:val="0"/>
        <w:pageBreakBefore w:val="0"/>
        <w:overflowPunct/>
        <w:topLinePunct w:val="0"/>
        <w:bidi w:val="0"/>
        <w:adjustRightInd/>
        <w:spacing w:line="240" w:lineRule="auto"/>
        <w:ind w:firstLine="420" w:firstLineChars="200"/>
        <w:jc w:val="both"/>
        <w:rPr>
          <w:rFonts w:ascii="Times New Roman" w:hAnsi="Times New Roman"/>
          <w:color w:val="auto"/>
          <w:highlight w:val="none"/>
        </w:rPr>
      </w:pPr>
      <w:r>
        <w:rPr>
          <w:rFonts w:hint="default" w:ascii="Times New Roman"/>
          <w:color w:val="auto"/>
          <w:highlight w:val="none"/>
        </w:rPr>
        <w:t>特此通知。</w:t>
      </w:r>
    </w:p>
    <w:p w14:paraId="54956301">
      <w:pPr>
        <w:keepNext w:val="0"/>
        <w:keepLines w:val="0"/>
        <w:pageBreakBefore w:val="0"/>
        <w:overflowPunct/>
        <w:topLinePunct w:val="0"/>
        <w:bidi w:val="0"/>
        <w:adjustRightInd/>
        <w:spacing w:line="240" w:lineRule="auto"/>
        <w:ind w:firstLine="420" w:firstLineChars="200"/>
        <w:rPr>
          <w:rFonts w:ascii="Times New Roman" w:hAnsi="Times New Roman"/>
          <w:color w:val="auto"/>
          <w:highlight w:val="none"/>
        </w:rPr>
      </w:pPr>
    </w:p>
    <w:p w14:paraId="15CBEE55">
      <w:pPr>
        <w:keepNext w:val="0"/>
        <w:keepLines w:val="0"/>
        <w:pageBreakBefore w:val="0"/>
        <w:widowControl w:val="0"/>
        <w:kinsoku/>
        <w:wordWrap/>
        <w:overflowPunct/>
        <w:topLinePunct w:val="0"/>
        <w:autoSpaceDE/>
        <w:autoSpaceDN/>
        <w:bidi w:val="0"/>
        <w:adjustRightInd/>
        <w:snapToGrid/>
        <w:spacing w:line="360" w:lineRule="auto"/>
        <w:ind w:left="0" w:leftChars="0" w:firstLine="3360" w:firstLineChars="16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招    标    人：</w:t>
      </w:r>
      <w:r>
        <w:rPr>
          <w:rFonts w:hint="eastAsia" w:ascii="宋体" w:hAnsi="宋体" w:eastAsia="宋体" w:cs="宋体"/>
          <w:color w:val="auto"/>
          <w:sz w:val="21"/>
          <w:szCs w:val="21"/>
          <w:highlight w:val="none"/>
          <w:u w:val="single"/>
        </w:rPr>
        <w:t xml:space="preserve">                  （单位盖章）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63FB809">
      <w:pPr>
        <w:keepNext w:val="0"/>
        <w:keepLines w:val="0"/>
        <w:pageBreakBefore w:val="0"/>
        <w:widowControl w:val="0"/>
        <w:kinsoku/>
        <w:wordWrap/>
        <w:overflowPunct/>
        <w:topLinePunct w:val="0"/>
        <w:autoSpaceDE/>
        <w:autoSpaceDN/>
        <w:bidi w:val="0"/>
        <w:adjustRightInd/>
        <w:snapToGrid/>
        <w:spacing w:line="360" w:lineRule="auto"/>
        <w:ind w:firstLine="3360" w:firstLineChars="16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（签字或盖章）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1D4E1366">
      <w:pPr>
        <w:keepNext w:val="0"/>
        <w:keepLines w:val="0"/>
        <w:pageBreakBefore w:val="0"/>
        <w:widowControl w:val="0"/>
        <w:kinsoku/>
        <w:wordWrap/>
        <w:overflowPunct/>
        <w:topLinePunct w:val="0"/>
        <w:autoSpaceDE/>
        <w:autoSpaceDN/>
        <w:bidi w:val="0"/>
        <w:adjustRightInd/>
        <w:snapToGrid/>
        <w:spacing w:line="360" w:lineRule="auto"/>
        <w:ind w:firstLine="3360" w:firstLineChars="16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联</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系</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rPr>
        <w:t xml:space="preserve">    </w:t>
      </w:r>
    </w:p>
    <w:p w14:paraId="3CDDDCF8">
      <w:pPr>
        <w:keepNext w:val="0"/>
        <w:keepLines w:val="0"/>
        <w:pageBreakBefore w:val="0"/>
        <w:widowControl w:val="0"/>
        <w:kinsoku/>
        <w:wordWrap/>
        <w:overflowPunct/>
        <w:topLinePunct w:val="0"/>
        <w:autoSpaceDE/>
        <w:autoSpaceDN/>
        <w:bidi w:val="0"/>
        <w:adjustRightInd/>
        <w:snapToGrid/>
        <w:spacing w:line="360" w:lineRule="auto"/>
        <w:ind w:firstLine="3360" w:firstLineChars="16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系</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电</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rPr>
        <w:t xml:space="preserve">           </w:t>
      </w:r>
    </w:p>
    <w:p w14:paraId="46C762DF">
      <w:pPr>
        <w:keepNext w:val="0"/>
        <w:keepLines w:val="0"/>
        <w:pageBreakBefore w:val="0"/>
        <w:widowControl w:val="0"/>
        <w:kinsoku/>
        <w:wordWrap/>
        <w:overflowPunct/>
        <w:topLinePunct w:val="0"/>
        <w:autoSpaceDE/>
        <w:autoSpaceDN/>
        <w:bidi w:val="0"/>
        <w:adjustRightInd/>
        <w:snapToGrid/>
        <w:spacing w:line="360" w:lineRule="auto"/>
        <w:ind w:right="420" w:rightChars="200" w:firstLine="420" w:firstLineChars="200"/>
        <w:jc w:val="right"/>
        <w:textAlignment w:val="auto"/>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686E2D8">
      <w:pPr>
        <w:spacing w:line="400" w:lineRule="exact"/>
        <w:jc w:val="center"/>
        <w:rPr>
          <w:rFonts w:hint="eastAsia" w:ascii="黑体" w:eastAsia="黑体"/>
          <w:highlight w:val="none"/>
        </w:rPr>
      </w:pPr>
    </w:p>
    <w:p w14:paraId="4E64FDE1">
      <w:pPr>
        <w:spacing w:line="400" w:lineRule="exact"/>
        <w:jc w:val="center"/>
        <w:rPr>
          <w:rFonts w:hint="eastAsia" w:ascii="黑体" w:eastAsia="黑体"/>
          <w:highlight w:val="none"/>
        </w:rPr>
      </w:pPr>
    </w:p>
    <w:p w14:paraId="667D7CB1">
      <w:pPr>
        <w:spacing w:line="400" w:lineRule="exact"/>
        <w:jc w:val="center"/>
        <w:rPr>
          <w:rFonts w:hint="eastAsia" w:ascii="黑体" w:eastAsia="黑体"/>
          <w:highlight w:val="none"/>
        </w:rPr>
      </w:pPr>
    </w:p>
    <w:p w14:paraId="0A2B5E5C">
      <w:pPr>
        <w:spacing w:line="400" w:lineRule="exact"/>
        <w:jc w:val="center"/>
        <w:rPr>
          <w:rFonts w:hint="eastAsia" w:ascii="黑体" w:eastAsia="黑体"/>
          <w:sz w:val="32"/>
          <w:szCs w:val="32"/>
          <w:highlight w:val="none"/>
        </w:rPr>
      </w:pPr>
    </w:p>
    <w:p w14:paraId="19B1A4CB">
      <w:pPr>
        <w:spacing w:line="400" w:lineRule="exact"/>
        <w:jc w:val="center"/>
        <w:rPr>
          <w:rFonts w:hint="eastAsia" w:ascii="黑体" w:eastAsia="黑体"/>
          <w:sz w:val="32"/>
          <w:szCs w:val="32"/>
          <w:highlight w:val="none"/>
        </w:rPr>
      </w:pPr>
    </w:p>
    <w:p w14:paraId="62B99A2B">
      <w:pPr>
        <w:spacing w:line="400" w:lineRule="exact"/>
        <w:jc w:val="center"/>
        <w:rPr>
          <w:rFonts w:hint="eastAsia" w:ascii="黑体" w:eastAsia="黑体"/>
          <w:sz w:val="32"/>
          <w:szCs w:val="32"/>
          <w:highlight w:val="none"/>
        </w:rPr>
      </w:pPr>
    </w:p>
    <w:p w14:paraId="68C8667F">
      <w:pPr>
        <w:spacing w:line="400" w:lineRule="exact"/>
        <w:jc w:val="center"/>
        <w:rPr>
          <w:rFonts w:hint="eastAsia" w:ascii="黑体" w:eastAsia="黑体"/>
          <w:sz w:val="32"/>
          <w:szCs w:val="32"/>
          <w:highlight w:val="none"/>
        </w:rPr>
      </w:pPr>
    </w:p>
    <w:p w14:paraId="4D9C0339">
      <w:pPr>
        <w:spacing w:line="400" w:lineRule="exact"/>
        <w:jc w:val="center"/>
        <w:rPr>
          <w:rFonts w:hint="eastAsia" w:ascii="黑体" w:eastAsia="黑体"/>
          <w:sz w:val="32"/>
          <w:szCs w:val="32"/>
          <w:highlight w:val="none"/>
        </w:rPr>
      </w:pPr>
    </w:p>
    <w:p w14:paraId="12A52B90">
      <w:pPr>
        <w:spacing w:line="400" w:lineRule="exact"/>
        <w:jc w:val="center"/>
        <w:rPr>
          <w:rFonts w:hint="eastAsia" w:ascii="黑体" w:eastAsia="黑体"/>
          <w:sz w:val="32"/>
          <w:szCs w:val="32"/>
          <w:highlight w:val="none"/>
        </w:rPr>
      </w:pPr>
    </w:p>
    <w:p w14:paraId="6AE5F09B">
      <w:pPr>
        <w:spacing w:line="400" w:lineRule="exact"/>
        <w:jc w:val="center"/>
        <w:rPr>
          <w:rFonts w:hint="eastAsia" w:ascii="黑体" w:eastAsia="黑体"/>
          <w:sz w:val="32"/>
          <w:szCs w:val="32"/>
          <w:highlight w:val="none"/>
        </w:rPr>
      </w:pPr>
    </w:p>
    <w:p w14:paraId="42572E08">
      <w:pPr>
        <w:spacing w:line="400" w:lineRule="exact"/>
        <w:jc w:val="center"/>
        <w:rPr>
          <w:rFonts w:hint="eastAsia" w:ascii="黑体" w:eastAsia="黑体"/>
          <w:sz w:val="32"/>
          <w:szCs w:val="32"/>
          <w:highlight w:val="none"/>
        </w:rPr>
      </w:pPr>
    </w:p>
    <w:p w14:paraId="74301757">
      <w:pPr>
        <w:spacing w:line="400" w:lineRule="exact"/>
        <w:jc w:val="center"/>
        <w:rPr>
          <w:rFonts w:hint="eastAsia" w:ascii="黑体" w:eastAsia="黑体"/>
          <w:sz w:val="32"/>
          <w:szCs w:val="32"/>
          <w:highlight w:val="none"/>
        </w:rPr>
      </w:pPr>
    </w:p>
    <w:p w14:paraId="4F330DB1">
      <w:pP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br w:type="page"/>
      </w:r>
    </w:p>
    <w:p w14:paraId="21435E8D">
      <w:pPr>
        <w:pStyle w:val="3"/>
        <w:keepNext w:val="0"/>
        <w:keepLines w:val="0"/>
        <w:pageBreakBefore w:val="0"/>
        <w:numPr>
          <w:ilvl w:val="0"/>
          <w:numId w:val="0"/>
        </w:numPr>
        <w:overflowPunct/>
        <w:topLinePunct w:val="0"/>
        <w:bidi w:val="0"/>
        <w:spacing w:line="240" w:lineRule="auto"/>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第三章 评标定标办法</w:t>
      </w:r>
    </w:p>
    <w:p w14:paraId="35A0C06E">
      <w:pPr>
        <w:spacing w:before="297" w:line="225" w:lineRule="auto"/>
        <w:ind w:left="3441"/>
        <w:rPr>
          <w:rFonts w:ascii="宋体" w:hAnsi="宋体" w:eastAsia="宋体" w:cs="宋体"/>
          <w:color w:val="000000" w:themeColor="text1"/>
          <w:sz w:val="31"/>
          <w:szCs w:val="31"/>
          <w:highlight w:val="none"/>
          <w14:textFill>
            <w14:solidFill>
              <w14:schemeClr w14:val="tx1"/>
            </w14:solidFill>
          </w14:textFill>
        </w:rPr>
      </w:pPr>
      <w:r>
        <w:rPr>
          <w:rFonts w:ascii="宋体" w:hAnsi="宋体" w:eastAsia="宋体" w:cs="宋体"/>
          <w:b/>
          <w:bCs/>
          <w:color w:val="000000" w:themeColor="text1"/>
          <w:spacing w:val="5"/>
          <w:sz w:val="31"/>
          <w:szCs w:val="31"/>
          <w:highlight w:val="none"/>
          <w14:textFill>
            <w14:solidFill>
              <w14:schemeClr w14:val="tx1"/>
            </w14:solidFill>
          </w14:textFill>
        </w:rPr>
        <w:t>第一节</w:t>
      </w:r>
      <w:r>
        <w:rPr>
          <w:rFonts w:ascii="宋体" w:hAnsi="宋体" w:eastAsia="宋体" w:cs="宋体"/>
          <w:color w:val="000000" w:themeColor="text1"/>
          <w:spacing w:val="5"/>
          <w:sz w:val="31"/>
          <w:szCs w:val="31"/>
          <w:highlight w:val="none"/>
          <w14:textFill>
            <w14:solidFill>
              <w14:schemeClr w14:val="tx1"/>
            </w14:solidFill>
          </w14:textFill>
        </w:rPr>
        <w:t xml:space="preserve"> </w:t>
      </w:r>
      <w:r>
        <w:rPr>
          <w:rFonts w:ascii="宋体" w:hAnsi="宋体" w:eastAsia="宋体" w:cs="宋体"/>
          <w:b/>
          <w:bCs/>
          <w:color w:val="000000" w:themeColor="text1"/>
          <w:spacing w:val="5"/>
          <w:sz w:val="31"/>
          <w:szCs w:val="31"/>
          <w:highlight w:val="none"/>
          <w14:textFill>
            <w14:solidFill>
              <w14:schemeClr w14:val="tx1"/>
            </w14:solidFill>
          </w14:textFill>
        </w:rPr>
        <w:t>评标办法</w:t>
      </w:r>
    </w:p>
    <w:p w14:paraId="179B1783">
      <w:pPr>
        <w:rPr>
          <w:rFonts w:hint="eastAsia"/>
          <w:highlight w:val="yellow"/>
        </w:rPr>
      </w:pPr>
    </w:p>
    <w:p w14:paraId="709864E9">
      <w:pPr>
        <w:spacing w:before="139" w:line="228" w:lineRule="auto"/>
        <w:ind w:left="2240"/>
        <w:rPr>
          <w:rFonts w:ascii="宋体" w:hAnsi="宋体" w:eastAsia="宋体" w:cs="宋体"/>
          <w:i w:val="0"/>
          <w:iCs w:val="0"/>
          <w:color w:val="000000" w:themeColor="text1"/>
          <w:sz w:val="29"/>
          <w:szCs w:val="29"/>
          <w:highlight w:val="none"/>
          <w14:textFill>
            <w14:solidFill>
              <w14:schemeClr w14:val="tx1"/>
            </w14:solidFill>
          </w14:textFill>
        </w:rPr>
      </w:pPr>
      <w:r>
        <w:rPr>
          <w:rFonts w:hint="eastAsia" w:ascii="宋体" w:hAnsi="宋体" w:eastAsia="宋体" w:cs="宋体"/>
          <w:color w:val="000000" w:themeColor="text1"/>
          <w:spacing w:val="-11"/>
          <w:sz w:val="43"/>
          <w:szCs w:val="43"/>
          <w:highlight w:val="none"/>
          <w:lang w:eastAsia="zh-CN"/>
          <w14:textFill>
            <w14:solidFill>
              <w14:schemeClr w14:val="tx1"/>
            </w14:solidFill>
          </w14:textFill>
        </w:rPr>
        <w:t>☑</w:t>
      </w:r>
      <w:r>
        <w:rPr>
          <w:rFonts w:ascii="宋体" w:hAnsi="宋体" w:eastAsia="宋体" w:cs="宋体"/>
          <w:color w:val="000000" w:themeColor="text1"/>
          <w:spacing w:val="-151"/>
          <w:sz w:val="43"/>
          <w:szCs w:val="43"/>
          <w:highlight w:val="none"/>
          <w14:textFill>
            <w14:solidFill>
              <w14:schemeClr w14:val="tx1"/>
            </w14:solidFill>
          </w14:textFill>
        </w:rPr>
        <w:t xml:space="preserve"> </w:t>
      </w:r>
      <w:r>
        <w:rPr>
          <w:rFonts w:ascii="宋体" w:hAnsi="宋体" w:eastAsia="宋体" w:cs="宋体"/>
          <w:i w:val="0"/>
          <w:iCs w:val="0"/>
          <w:color w:val="000000" w:themeColor="text1"/>
          <w:spacing w:val="-11"/>
          <w:sz w:val="29"/>
          <w:szCs w:val="29"/>
          <w:highlight w:val="none"/>
          <w14:textFill>
            <w14:solidFill>
              <w14:schemeClr w14:val="tx1"/>
            </w14:solidFill>
          </w14:textFill>
        </w:rPr>
        <w:t>一、综合评估法（适用于技术标明标）</w:t>
      </w:r>
    </w:p>
    <w:p w14:paraId="42BDC4BE">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工程总承包综合评估法应先对投标人进行资格</w:t>
      </w:r>
      <w:r>
        <w:rPr>
          <w:rFonts w:hint="eastAsia" w:ascii="宋体" w:hAnsi="宋体" w:eastAsia="宋体" w:cs="宋体"/>
          <w:i w:val="0"/>
          <w:iCs w:val="0"/>
          <w:color w:val="auto"/>
          <w:spacing w:val="0"/>
          <w:sz w:val="21"/>
          <w:szCs w:val="21"/>
          <w:highlight w:val="none"/>
        </w:rPr>
        <w:t>审查，已通过资格审查的，采用百分制记分法对投标人分别进行技术、资信、商务报价评分，按总分从高到低进行排序，并按照排序推荐中标候选人。</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评标应遵循公平、公正、科学、择优的原则</w:t>
      </w:r>
      <w:r>
        <w:rPr>
          <w:rFonts w:hint="eastAsia" w:ascii="宋体" w:hAnsi="宋体" w:eastAsia="宋体" w:cs="宋体"/>
          <w:i w:val="0"/>
          <w:iCs w:val="0"/>
          <w:color w:val="auto"/>
          <w:spacing w:val="0"/>
          <w:sz w:val="21"/>
          <w:szCs w:val="21"/>
          <w:highlight w:val="none"/>
        </w:rPr>
        <w:t>。</w:t>
      </w:r>
    </w:p>
    <w:p w14:paraId="3A348120">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4" w:firstLineChars="200"/>
        <w:jc w:val="both"/>
        <w:textAlignment w:val="auto"/>
        <w:outlineLvl w:val="9"/>
        <w:rPr>
          <w:rFonts w:ascii="宋体" w:hAnsi="宋体" w:eastAsia="宋体" w:cs="宋体"/>
          <w:i w:val="0"/>
          <w:iCs w:val="0"/>
          <w:color w:val="auto"/>
          <w:spacing w:val="-3"/>
          <w:sz w:val="21"/>
          <w:szCs w:val="21"/>
          <w:highlight w:val="none"/>
        </w:rPr>
      </w:pPr>
      <w:r>
        <w:rPr>
          <w:rFonts w:hint="eastAsia" w:ascii="宋体" w:hAnsi="宋体" w:eastAsia="宋体" w:cs="宋体"/>
          <w:i w:val="0"/>
          <w:iCs w:val="0"/>
          <w:color w:val="auto"/>
          <w:spacing w:val="1"/>
          <w:sz w:val="21"/>
          <w:szCs w:val="21"/>
          <w:highlight w:val="none"/>
          <w:lang w:eastAsia="zh-CN"/>
        </w:rPr>
        <w:t>☑</w:t>
      </w:r>
      <w:r>
        <w:rPr>
          <w:rFonts w:ascii="宋体" w:hAnsi="宋体" w:eastAsia="宋体" w:cs="宋体"/>
          <w:b/>
          <w:bCs/>
          <w:i w:val="0"/>
          <w:iCs w:val="0"/>
          <w:color w:val="auto"/>
          <w:spacing w:val="1"/>
          <w:sz w:val="21"/>
          <w:szCs w:val="21"/>
          <w:highlight w:val="none"/>
        </w:rPr>
        <w:t>总分</w:t>
      </w:r>
      <w:r>
        <w:rPr>
          <w:rFonts w:ascii="宋体" w:hAnsi="宋体" w:eastAsia="宋体" w:cs="宋体"/>
          <w:i w:val="0"/>
          <w:iCs w:val="0"/>
          <w:color w:val="auto"/>
          <w:spacing w:val="1"/>
          <w:sz w:val="21"/>
          <w:szCs w:val="21"/>
          <w:highlight w:val="none"/>
        </w:rPr>
        <w:t>（100分</w:t>
      </w:r>
      <w:r>
        <w:rPr>
          <w:rFonts w:ascii="宋体" w:hAnsi="宋体" w:eastAsia="宋体" w:cs="宋体"/>
          <w:i w:val="0"/>
          <w:iCs w:val="0"/>
          <w:color w:val="auto"/>
          <w:spacing w:val="5"/>
          <w:sz w:val="21"/>
          <w:szCs w:val="21"/>
          <w:highlight w:val="none"/>
        </w:rPr>
        <w:t>）：</w:t>
      </w:r>
      <w:r>
        <w:rPr>
          <w:rFonts w:ascii="宋体" w:hAnsi="宋体" w:eastAsia="宋体" w:cs="宋体"/>
          <w:i w:val="0"/>
          <w:iCs w:val="0"/>
          <w:color w:val="auto"/>
          <w:spacing w:val="1"/>
          <w:sz w:val="21"/>
          <w:szCs w:val="21"/>
          <w:highlight w:val="none"/>
        </w:rPr>
        <w:t>技术标评分(≤30分）</w:t>
      </w:r>
      <w:r>
        <w:rPr>
          <w:rFonts w:hint="eastAsia" w:ascii="宋体" w:hAnsi="宋体" w:cs="宋体"/>
          <w:i w:val="0"/>
          <w:iCs w:val="0"/>
          <w:color w:val="auto"/>
          <w:spacing w:val="1"/>
          <w:sz w:val="21"/>
          <w:szCs w:val="21"/>
          <w:highlight w:val="none"/>
          <w:u w:val="single"/>
          <w:lang w:val="en-US" w:eastAsia="zh-CN"/>
        </w:rPr>
        <w:t>30</w:t>
      </w:r>
      <w:r>
        <w:rPr>
          <w:rFonts w:ascii="宋体" w:hAnsi="宋体" w:eastAsia="宋体" w:cs="宋体"/>
          <w:i w:val="0"/>
          <w:iCs w:val="0"/>
          <w:color w:val="auto"/>
          <w:spacing w:val="1"/>
          <w:sz w:val="21"/>
          <w:szCs w:val="21"/>
          <w:highlight w:val="none"/>
        </w:rPr>
        <w:t>分,资信标评分</w:t>
      </w:r>
      <w:r>
        <w:rPr>
          <w:rFonts w:hint="eastAsia" w:ascii="宋体" w:hAnsi="宋体" w:cs="宋体"/>
          <w:i w:val="0"/>
          <w:iCs w:val="0"/>
          <w:color w:val="auto"/>
          <w:spacing w:val="1"/>
          <w:sz w:val="21"/>
          <w:szCs w:val="21"/>
          <w:highlight w:val="none"/>
          <w:u w:val="single" w:color="auto"/>
          <w:lang w:val="en-US" w:eastAsia="zh-CN"/>
        </w:rPr>
        <w:t>6</w:t>
      </w:r>
      <w:r>
        <w:rPr>
          <w:rFonts w:ascii="宋体" w:hAnsi="宋体" w:eastAsia="宋体" w:cs="宋体"/>
          <w:i w:val="0"/>
          <w:iCs w:val="0"/>
          <w:color w:val="auto"/>
          <w:spacing w:val="1"/>
          <w:sz w:val="21"/>
          <w:szCs w:val="21"/>
          <w:highlight w:val="none"/>
        </w:rPr>
        <w:t>分,</w:t>
      </w:r>
      <w:r>
        <w:rPr>
          <w:rFonts w:ascii="宋体" w:hAnsi="宋体" w:eastAsia="宋体" w:cs="宋体"/>
          <w:i w:val="0"/>
          <w:iCs w:val="0"/>
          <w:color w:val="auto"/>
          <w:sz w:val="21"/>
          <w:szCs w:val="21"/>
          <w:highlight w:val="none"/>
        </w:rPr>
        <w:t xml:space="preserve"> </w:t>
      </w:r>
      <w:r>
        <w:rPr>
          <w:rFonts w:ascii="宋体" w:hAnsi="宋体" w:eastAsia="宋体" w:cs="宋体"/>
          <w:i w:val="0"/>
          <w:iCs w:val="0"/>
          <w:color w:val="auto"/>
          <w:spacing w:val="-5"/>
          <w:sz w:val="21"/>
          <w:szCs w:val="21"/>
          <w:highlight w:val="none"/>
        </w:rPr>
        <w:t>商务标评分(≥60分）</w:t>
      </w:r>
      <w:r>
        <w:rPr>
          <w:rFonts w:hint="eastAsia" w:ascii="宋体" w:hAnsi="宋体" w:cs="宋体"/>
          <w:i w:val="0"/>
          <w:iCs w:val="0"/>
          <w:color w:val="auto"/>
          <w:spacing w:val="25"/>
          <w:sz w:val="21"/>
          <w:szCs w:val="21"/>
          <w:highlight w:val="none"/>
          <w:u w:val="single" w:color="auto"/>
          <w:lang w:val="en-US" w:eastAsia="zh-CN"/>
        </w:rPr>
        <w:t>64</w:t>
      </w:r>
      <w:r>
        <w:rPr>
          <w:rFonts w:ascii="宋体" w:hAnsi="宋体" w:eastAsia="宋体" w:cs="宋体"/>
          <w:i w:val="0"/>
          <w:iCs w:val="0"/>
          <w:color w:val="auto"/>
          <w:spacing w:val="-5"/>
          <w:sz w:val="21"/>
          <w:szCs w:val="21"/>
          <w:highlight w:val="none"/>
        </w:rPr>
        <w:t>分之和（具体分值由当地招</w:t>
      </w:r>
      <w:r>
        <w:rPr>
          <w:rFonts w:ascii="宋体" w:hAnsi="宋体" w:eastAsia="宋体" w:cs="宋体"/>
          <w:i w:val="0"/>
          <w:iCs w:val="0"/>
          <w:color w:val="auto"/>
          <w:spacing w:val="-6"/>
          <w:sz w:val="21"/>
          <w:szCs w:val="21"/>
          <w:highlight w:val="none"/>
        </w:rPr>
        <w:t>投标主管部门和招标人确定，</w:t>
      </w:r>
      <w:r>
        <w:rPr>
          <w:rFonts w:ascii="宋体" w:hAnsi="宋体" w:eastAsia="宋体" w:cs="宋体"/>
          <w:i w:val="0"/>
          <w:iCs w:val="0"/>
          <w:color w:val="auto"/>
          <w:spacing w:val="-3"/>
          <w:sz w:val="21"/>
          <w:szCs w:val="21"/>
          <w:highlight w:val="none"/>
        </w:rPr>
        <w:t>适用于技术复杂项目）</w:t>
      </w:r>
    </w:p>
    <w:p w14:paraId="29FA95F4">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4" w:firstLineChars="200"/>
        <w:jc w:val="both"/>
        <w:textAlignment w:val="auto"/>
        <w:outlineLvl w:val="9"/>
        <w:rPr>
          <w:rFonts w:ascii="宋体" w:hAnsi="宋体" w:eastAsia="宋体" w:cs="宋体"/>
          <w:i w:val="0"/>
          <w:iCs w:val="0"/>
          <w:color w:val="000000" w:themeColor="text1"/>
          <w:spacing w:val="-3"/>
          <w:sz w:val="21"/>
          <w:szCs w:val="21"/>
          <w:highlight w:val="none"/>
          <w14:textFill>
            <w14:solidFill>
              <w14:schemeClr w14:val="tx1"/>
            </w14:solidFill>
          </w14:textFill>
        </w:rPr>
      </w:pPr>
      <w:r>
        <w:rPr>
          <w:rFonts w:hint="eastAsia" w:ascii="宋体" w:hAnsi="宋体" w:eastAsia="宋体" w:cs="宋体"/>
          <w:i w:val="0"/>
          <w:iCs w:val="0"/>
          <w:color w:val="000000" w:themeColor="text1"/>
          <w:spacing w:val="1"/>
          <w:sz w:val="21"/>
          <w:szCs w:val="21"/>
          <w:highlight w:val="none"/>
          <w:lang w:eastAsia="zh-CN"/>
          <w14:textFill>
            <w14:solidFill>
              <w14:schemeClr w14:val="tx1"/>
            </w14:solidFill>
          </w14:textFill>
        </w:rPr>
        <w:t>□</w:t>
      </w:r>
      <w:r>
        <w:rPr>
          <w:rFonts w:ascii="宋体" w:hAnsi="宋体" w:eastAsia="宋体" w:cs="宋体"/>
          <w:b/>
          <w:bCs/>
          <w:i w:val="0"/>
          <w:iCs w:val="0"/>
          <w:color w:val="000000" w:themeColor="text1"/>
          <w:spacing w:val="1"/>
          <w:sz w:val="21"/>
          <w:szCs w:val="21"/>
          <w:highlight w:val="none"/>
          <w14:textFill>
            <w14:solidFill>
              <w14:schemeClr w14:val="tx1"/>
            </w14:solidFill>
          </w14:textFill>
        </w:rPr>
        <w:t>总分</w:t>
      </w:r>
      <w:r>
        <w:rPr>
          <w:rFonts w:ascii="宋体" w:hAnsi="宋体" w:eastAsia="宋体" w:cs="宋体"/>
          <w:i w:val="0"/>
          <w:iCs w:val="0"/>
          <w:color w:val="000000" w:themeColor="text1"/>
          <w:spacing w:val="1"/>
          <w:sz w:val="21"/>
          <w:szCs w:val="21"/>
          <w:highlight w:val="none"/>
          <w14:textFill>
            <w14:solidFill>
              <w14:schemeClr w14:val="tx1"/>
            </w14:solidFill>
          </w14:textFill>
        </w:rPr>
        <w:t>（100分</w:t>
      </w:r>
      <w:r>
        <w:rPr>
          <w:rFonts w:ascii="宋体" w:hAnsi="宋体" w:eastAsia="宋体" w:cs="宋体"/>
          <w:i w:val="0"/>
          <w:iCs w:val="0"/>
          <w:color w:val="000000" w:themeColor="text1"/>
          <w:spacing w:val="5"/>
          <w:sz w:val="21"/>
          <w:szCs w:val="21"/>
          <w:highlight w:val="none"/>
          <w14:textFill>
            <w14:solidFill>
              <w14:schemeClr w14:val="tx1"/>
            </w14:solidFill>
          </w14:textFill>
        </w:rPr>
        <w:t>）：</w:t>
      </w:r>
      <w:r>
        <w:rPr>
          <w:rFonts w:ascii="宋体" w:hAnsi="宋体" w:eastAsia="宋体" w:cs="宋体"/>
          <w:i w:val="0"/>
          <w:iCs w:val="0"/>
          <w:color w:val="000000" w:themeColor="text1"/>
          <w:spacing w:val="1"/>
          <w:sz w:val="21"/>
          <w:szCs w:val="21"/>
          <w:highlight w:val="none"/>
          <w14:textFill>
            <w14:solidFill>
              <w14:schemeClr w14:val="tx1"/>
            </w14:solidFill>
          </w14:textFill>
        </w:rPr>
        <w:t>技术标评分(≤20分）</w:t>
      </w:r>
      <w:r>
        <w:rPr>
          <w:rFonts w:ascii="宋体" w:hAnsi="宋体" w:eastAsia="宋体" w:cs="宋体"/>
          <w:b/>
          <w:bCs/>
          <w:i w:val="0"/>
          <w:iCs w:val="0"/>
          <w:color w:val="000000" w:themeColor="text1"/>
          <w:spacing w:val="35"/>
          <w:sz w:val="21"/>
          <w:szCs w:val="21"/>
          <w:highlight w:val="none"/>
          <w:u w:val="single" w:color="auto"/>
          <w14:textFill>
            <w14:solidFill>
              <w14:schemeClr w14:val="tx1"/>
            </w14:solidFill>
          </w14:textFill>
        </w:rPr>
        <w:t xml:space="preserve"> </w:t>
      </w:r>
      <w:r>
        <w:rPr>
          <w:rFonts w:hint="eastAsia" w:ascii="宋体" w:hAnsi="宋体" w:eastAsia="宋体" w:cs="宋体"/>
          <w:b/>
          <w:bCs/>
          <w:i w:val="0"/>
          <w:iCs w:val="0"/>
          <w:color w:val="000000" w:themeColor="text1"/>
          <w:spacing w:val="35"/>
          <w:sz w:val="21"/>
          <w:szCs w:val="21"/>
          <w:highlight w:val="none"/>
          <w:u w:val="single" w:color="auto"/>
          <w:lang w:val="en-US" w:eastAsia="zh-CN"/>
          <w14:textFill>
            <w14:solidFill>
              <w14:schemeClr w14:val="tx1"/>
            </w14:solidFill>
          </w14:textFill>
        </w:rPr>
        <w:t xml:space="preserve"> </w:t>
      </w:r>
      <w:r>
        <w:rPr>
          <w:rFonts w:ascii="宋体" w:hAnsi="宋体" w:eastAsia="宋体" w:cs="宋体"/>
          <w:i w:val="0"/>
          <w:iCs w:val="0"/>
          <w:color w:val="000000" w:themeColor="text1"/>
          <w:spacing w:val="35"/>
          <w:sz w:val="21"/>
          <w:szCs w:val="21"/>
          <w:highlight w:val="none"/>
          <w:u w:val="single" w:color="auto"/>
          <w14:textFill>
            <w14:solidFill>
              <w14:schemeClr w14:val="tx1"/>
            </w14:solidFill>
          </w14:textFill>
        </w:rPr>
        <w:t xml:space="preserve"> </w:t>
      </w:r>
      <w:r>
        <w:rPr>
          <w:rFonts w:ascii="宋体" w:hAnsi="宋体" w:eastAsia="宋体" w:cs="宋体"/>
          <w:i w:val="0"/>
          <w:iCs w:val="0"/>
          <w:color w:val="000000" w:themeColor="text1"/>
          <w:spacing w:val="-113"/>
          <w:sz w:val="21"/>
          <w:szCs w:val="21"/>
          <w:highlight w:val="none"/>
          <w14:textFill>
            <w14:solidFill>
              <w14:schemeClr w14:val="tx1"/>
            </w14:solidFill>
          </w14:textFill>
        </w:rPr>
        <w:t xml:space="preserve"> </w:t>
      </w:r>
      <w:r>
        <w:rPr>
          <w:rFonts w:ascii="宋体" w:hAnsi="宋体" w:eastAsia="宋体" w:cs="宋体"/>
          <w:i w:val="0"/>
          <w:iCs w:val="0"/>
          <w:color w:val="000000" w:themeColor="text1"/>
          <w:spacing w:val="1"/>
          <w:sz w:val="21"/>
          <w:szCs w:val="21"/>
          <w:highlight w:val="none"/>
          <w14:textFill>
            <w14:solidFill>
              <w14:schemeClr w14:val="tx1"/>
            </w14:solidFill>
          </w14:textFill>
        </w:rPr>
        <w:t>分,资信标评分</w:t>
      </w:r>
      <w:r>
        <w:rPr>
          <w:rFonts w:ascii="宋体" w:hAnsi="宋体" w:eastAsia="宋体" w:cs="宋体"/>
          <w:i w:val="0"/>
          <w:iCs w:val="0"/>
          <w:color w:val="000000" w:themeColor="text1"/>
          <w:spacing w:val="1"/>
          <w:sz w:val="21"/>
          <w:szCs w:val="21"/>
          <w:highlight w:val="none"/>
          <w:u w:val="single" w:color="auto"/>
          <w14:textFill>
            <w14:solidFill>
              <w14:schemeClr w14:val="tx1"/>
            </w14:solidFill>
          </w14:textFill>
        </w:rPr>
        <w:t>（3-10分）</w:t>
      </w:r>
      <w:r>
        <w:rPr>
          <w:rFonts w:ascii="宋体" w:hAnsi="宋体" w:eastAsia="宋体" w:cs="宋体"/>
          <w:i w:val="0"/>
          <w:iCs w:val="0"/>
          <w:color w:val="000000" w:themeColor="text1"/>
          <w:spacing w:val="1"/>
          <w:sz w:val="21"/>
          <w:szCs w:val="21"/>
          <w:highlight w:val="none"/>
          <w14:textFill>
            <w14:solidFill>
              <w14:schemeClr w14:val="tx1"/>
            </w14:solidFill>
          </w14:textFill>
        </w:rPr>
        <w:t>分,</w:t>
      </w:r>
      <w:r>
        <w:rPr>
          <w:rFonts w:ascii="宋体" w:hAnsi="宋体" w:eastAsia="宋体" w:cs="宋体"/>
          <w:i w:val="0"/>
          <w:iCs w:val="0"/>
          <w:color w:val="000000" w:themeColor="text1"/>
          <w:sz w:val="21"/>
          <w:szCs w:val="21"/>
          <w:highlight w:val="none"/>
          <w14:textFill>
            <w14:solidFill>
              <w14:schemeClr w14:val="tx1"/>
            </w14:solidFill>
          </w14:textFill>
        </w:rPr>
        <w:t xml:space="preserve"> </w:t>
      </w:r>
      <w:r>
        <w:rPr>
          <w:rFonts w:ascii="宋体" w:hAnsi="宋体" w:eastAsia="宋体" w:cs="宋体"/>
          <w:i w:val="0"/>
          <w:iCs w:val="0"/>
          <w:color w:val="000000" w:themeColor="text1"/>
          <w:spacing w:val="-6"/>
          <w:sz w:val="21"/>
          <w:szCs w:val="21"/>
          <w:highlight w:val="none"/>
          <w14:textFill>
            <w14:solidFill>
              <w14:schemeClr w14:val="tx1"/>
            </w14:solidFill>
          </w14:textFill>
        </w:rPr>
        <w:t>商务标评分(≥70分）</w:t>
      </w:r>
      <w:r>
        <w:rPr>
          <w:rFonts w:ascii="宋体" w:hAnsi="宋体" w:eastAsia="宋体" w:cs="宋体"/>
          <w:b/>
          <w:bCs/>
          <w:i w:val="0"/>
          <w:iCs w:val="0"/>
          <w:color w:val="000000" w:themeColor="text1"/>
          <w:spacing w:val="28"/>
          <w:sz w:val="21"/>
          <w:szCs w:val="21"/>
          <w:highlight w:val="none"/>
          <w:u w:val="single" w:color="auto"/>
          <w14:textFill>
            <w14:solidFill>
              <w14:schemeClr w14:val="tx1"/>
            </w14:solidFill>
          </w14:textFill>
        </w:rPr>
        <w:t xml:space="preserve"> </w:t>
      </w:r>
      <w:r>
        <w:rPr>
          <w:rFonts w:hint="eastAsia" w:ascii="宋体" w:hAnsi="宋体" w:eastAsia="宋体" w:cs="宋体"/>
          <w:b/>
          <w:bCs/>
          <w:i w:val="0"/>
          <w:iCs w:val="0"/>
          <w:color w:val="000000" w:themeColor="text1"/>
          <w:spacing w:val="28"/>
          <w:sz w:val="21"/>
          <w:szCs w:val="21"/>
          <w:highlight w:val="none"/>
          <w:u w:val="single" w:color="auto"/>
          <w:lang w:val="en-US" w:eastAsia="zh-CN"/>
          <w14:textFill>
            <w14:solidFill>
              <w14:schemeClr w14:val="tx1"/>
            </w14:solidFill>
          </w14:textFill>
        </w:rPr>
        <w:t xml:space="preserve"> </w:t>
      </w:r>
      <w:r>
        <w:rPr>
          <w:rFonts w:ascii="宋体" w:hAnsi="宋体" w:eastAsia="宋体" w:cs="宋体"/>
          <w:b/>
          <w:bCs/>
          <w:i w:val="0"/>
          <w:iCs w:val="0"/>
          <w:color w:val="000000" w:themeColor="text1"/>
          <w:spacing w:val="28"/>
          <w:sz w:val="21"/>
          <w:szCs w:val="21"/>
          <w:highlight w:val="none"/>
          <w:u w:val="single" w:color="auto"/>
          <w14:textFill>
            <w14:solidFill>
              <w14:schemeClr w14:val="tx1"/>
            </w14:solidFill>
          </w14:textFill>
        </w:rPr>
        <w:t xml:space="preserve"> </w:t>
      </w:r>
      <w:r>
        <w:rPr>
          <w:rFonts w:ascii="宋体" w:hAnsi="宋体" w:eastAsia="宋体" w:cs="宋体"/>
          <w:i w:val="0"/>
          <w:iCs w:val="0"/>
          <w:color w:val="000000" w:themeColor="text1"/>
          <w:spacing w:val="-112"/>
          <w:sz w:val="21"/>
          <w:szCs w:val="21"/>
          <w:highlight w:val="none"/>
          <w14:textFill>
            <w14:solidFill>
              <w14:schemeClr w14:val="tx1"/>
            </w14:solidFill>
          </w14:textFill>
        </w:rPr>
        <w:t xml:space="preserve"> </w:t>
      </w:r>
      <w:r>
        <w:rPr>
          <w:rFonts w:ascii="宋体" w:hAnsi="宋体" w:eastAsia="宋体" w:cs="宋体"/>
          <w:i w:val="0"/>
          <w:iCs w:val="0"/>
          <w:color w:val="000000" w:themeColor="text1"/>
          <w:spacing w:val="-6"/>
          <w:sz w:val="21"/>
          <w:szCs w:val="21"/>
          <w:highlight w:val="none"/>
          <w14:textFill>
            <w14:solidFill>
              <w14:schemeClr w14:val="tx1"/>
            </w14:solidFill>
          </w14:textFill>
        </w:rPr>
        <w:t>分之和（具体分值由当地招投标主管部门和招标人确定，</w:t>
      </w:r>
      <w:r>
        <w:rPr>
          <w:rFonts w:ascii="宋体" w:hAnsi="宋体" w:eastAsia="宋体" w:cs="宋体"/>
          <w:i w:val="0"/>
          <w:iCs w:val="0"/>
          <w:color w:val="000000" w:themeColor="text1"/>
          <w:spacing w:val="-3"/>
          <w:sz w:val="21"/>
          <w:szCs w:val="21"/>
          <w:highlight w:val="none"/>
          <w14:textFill>
            <w14:solidFill>
              <w14:schemeClr w14:val="tx1"/>
            </w14:solidFill>
          </w14:textFill>
        </w:rPr>
        <w:t>适用于非技术复杂项目）</w:t>
      </w:r>
    </w:p>
    <w:p w14:paraId="352A2CAF">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评标工作由招标人依法组建的评标委员会负责，评标委员会的组建见投标人须知前附表 6.1.1。</w:t>
      </w:r>
    </w:p>
    <w:p w14:paraId="41022CA3">
      <w:pPr>
        <w:keepNext w:val="0"/>
        <w:keepLines w:val="0"/>
        <w:pageBreakBefore w:val="0"/>
        <w:widowControl w:val="0"/>
        <w:kinsoku/>
        <w:wordWrap/>
        <w:overflowPunct/>
        <w:topLinePunct w:val="0"/>
        <w:autoSpaceDE/>
        <w:autoSpaceDN/>
        <w:bidi w:val="0"/>
        <w:adjustRightInd w:val="0"/>
        <w:snapToGrid w:val="0"/>
        <w:spacing w:before="114" w:line="400" w:lineRule="exact"/>
        <w:ind w:firstLine="482" w:firstLineChars="200"/>
        <w:jc w:val="both"/>
        <w:textAlignment w:val="auto"/>
        <w:outlineLvl w:val="9"/>
        <w:rPr>
          <w:rFonts w:hint="eastAsia" w:ascii="宋体" w:hAnsi="宋体" w:eastAsia="宋体" w:cs="宋体"/>
          <w:b/>
          <w:bCs/>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bCs/>
          <w:i w:val="0"/>
          <w:iCs w:val="0"/>
          <w:color w:val="000000" w:themeColor="text1"/>
          <w:spacing w:val="0"/>
          <w:sz w:val="24"/>
          <w:szCs w:val="24"/>
          <w:highlight w:val="none"/>
          <w14:textFill>
            <w14:solidFill>
              <w14:schemeClr w14:val="tx1"/>
            </w14:solidFill>
          </w14:textFill>
        </w:rPr>
        <w:t>一、评标程序</w:t>
      </w:r>
    </w:p>
    <w:p w14:paraId="32119853">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熟悉招标文件和评标办法；</w:t>
      </w:r>
    </w:p>
    <w:p w14:paraId="6CD7E3CE">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2.初步评审；</w:t>
      </w:r>
    </w:p>
    <w:p w14:paraId="0C7479F0">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技术标评审；</w:t>
      </w:r>
    </w:p>
    <w:p w14:paraId="5020A6F4">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4.资信标评审；</w:t>
      </w:r>
    </w:p>
    <w:p w14:paraId="5AA1BE93">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5.商务标评审；</w:t>
      </w:r>
    </w:p>
    <w:p w14:paraId="04B913BF">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6.对投标文件进行综合评分，推荐中标候选人；</w:t>
      </w:r>
    </w:p>
    <w:p w14:paraId="143E1E23">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7.出具评标报告。</w:t>
      </w:r>
    </w:p>
    <w:p w14:paraId="507D03DD">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询标</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（1）投标文件中有含义不明确的内容、明显文字或计算错误，评标委员会认为需要投标人作出必要澄清、说明的，应当组织询标。</w:t>
      </w:r>
    </w:p>
    <w:p w14:paraId="76251207">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凡是评标委员会拟作出否决投标决定的，须组织相关投标人询问核实。未进行询问核实的，不得作出否决投标的决定，投标人放弃询问核实机会的除外。投标人应自行关注评标委员会发出的澄清并及时答复，在规定的时限内投标人不参加核实或不予答复的，视为放弃接受询问核实的机会。</w:t>
      </w:r>
    </w:p>
    <w:p w14:paraId="6C312DA3">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（3）询标问题及投标人的澄清、说明应当采用书面形式，并不得超出投标文件的范围或者改变投标文件的实质性内容。</w:t>
      </w:r>
    </w:p>
    <w:p w14:paraId="658D27A9">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（4）评标委员会不得暗示或者诱导投标人作出澄清、说明，不得接受投标人主动提出的澄清、说明。</w:t>
      </w:r>
    </w:p>
    <w:p w14:paraId="6D4AE152">
      <w:pPr>
        <w:keepNext w:val="0"/>
        <w:keepLines w:val="0"/>
        <w:pageBreakBefore w:val="0"/>
        <w:widowControl w:val="0"/>
        <w:kinsoku/>
        <w:wordWrap/>
        <w:overflowPunct/>
        <w:topLinePunct w:val="0"/>
        <w:autoSpaceDE/>
        <w:autoSpaceDN/>
        <w:bidi w:val="0"/>
        <w:adjustRightInd w:val="0"/>
        <w:snapToGrid w:val="0"/>
        <w:spacing w:line="440" w:lineRule="exact"/>
        <w:ind w:left="1" w:right="63"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（5）投标人不得通过补充、修改或撤销投标文件中的内容使其成为实质性响应的投标，投标人在投标截止时间以后不得提交任何资料作为评标依据。</w:t>
      </w:r>
    </w:p>
    <w:p w14:paraId="1AADF42F">
      <w:pPr>
        <w:keepNext w:val="0"/>
        <w:keepLines w:val="0"/>
        <w:pageBreakBefore w:val="0"/>
        <w:widowControl w:val="0"/>
        <w:kinsoku/>
        <w:wordWrap/>
        <w:overflowPunct/>
        <w:topLinePunct w:val="0"/>
        <w:autoSpaceDE/>
        <w:autoSpaceDN/>
        <w:bidi w:val="0"/>
        <w:adjustRightInd w:val="0"/>
        <w:snapToGrid w:val="0"/>
        <w:spacing w:before="105" w:line="400" w:lineRule="exact"/>
        <w:ind w:left="494"/>
        <w:jc w:val="both"/>
        <w:textAlignment w:val="auto"/>
        <w:outlineLvl w:val="9"/>
        <w:rPr>
          <w:rFonts w:hint="eastAsia" w:ascii="宋体" w:hAnsi="宋体" w:eastAsia="宋体" w:cs="宋体"/>
          <w:b/>
          <w:bCs/>
          <w:i w:val="0"/>
          <w:iCs w:val="0"/>
          <w:color w:val="000000" w:themeColor="text1"/>
          <w:spacing w:val="0"/>
          <w:sz w:val="24"/>
          <w:szCs w:val="24"/>
          <w:highlight w:val="none"/>
          <w14:textFill>
            <w14:solidFill>
              <w14:schemeClr w14:val="tx1"/>
            </w14:solidFill>
          </w14:textFill>
        </w:rPr>
      </w:pPr>
      <w:r>
        <w:rPr>
          <w:rFonts w:hint="eastAsia" w:ascii="宋体" w:hAnsi="宋体" w:eastAsia="宋体" w:cs="宋体"/>
          <w:b/>
          <w:bCs/>
          <w:i w:val="0"/>
          <w:iCs w:val="0"/>
          <w:color w:val="000000" w:themeColor="text1"/>
          <w:spacing w:val="0"/>
          <w:sz w:val="24"/>
          <w:szCs w:val="24"/>
          <w:highlight w:val="none"/>
          <w14:textFill>
            <w14:solidFill>
              <w14:schemeClr w14:val="tx1"/>
            </w14:solidFill>
          </w14:textFill>
        </w:rPr>
        <w:t>二、评审细则</w:t>
      </w:r>
    </w:p>
    <w:p w14:paraId="7F2E7FFE">
      <w:pPr>
        <w:keepNext w:val="0"/>
        <w:keepLines w:val="0"/>
        <w:pageBreakBefore w:val="0"/>
        <w:widowControl w:val="0"/>
        <w:kinsoku/>
        <w:wordWrap/>
        <w:overflowPunct/>
        <w:topLinePunct w:val="0"/>
        <w:autoSpaceDE/>
        <w:autoSpaceDN/>
        <w:bidi w:val="0"/>
        <w:adjustRightInd w:val="0"/>
        <w:snapToGrid w:val="0"/>
        <w:spacing w:before="105" w:line="400" w:lineRule="exact"/>
        <w:ind w:left="49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（一）投标文件的初步评审</w:t>
      </w:r>
    </w:p>
    <w:p w14:paraId="49B49C32">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val="en-US" w:eastAsia="zh-CN"/>
        </w:rPr>
        <w:t>1.评标委员会应依照招标文件的要求和规定，对投标人的投标资格和投标文件进行初步评审。</w:t>
      </w:r>
    </w:p>
    <w:p w14:paraId="4122753D">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auto"/>
          <w:spacing w:val="0"/>
          <w:sz w:val="21"/>
          <w:szCs w:val="21"/>
          <w:highlight w:val="none"/>
          <w:lang w:val="en-US" w:eastAsia="zh-CN"/>
        </w:rPr>
      </w:pPr>
      <w:r>
        <w:rPr>
          <w:rFonts w:hint="eastAsia" w:ascii="宋体" w:hAnsi="宋体" w:eastAsia="宋体" w:cs="宋体"/>
          <w:i w:val="0"/>
          <w:iCs w:val="0"/>
          <w:color w:val="auto"/>
          <w:spacing w:val="0"/>
          <w:sz w:val="21"/>
          <w:szCs w:val="21"/>
          <w:highlight w:val="none"/>
          <w:lang w:val="en-US" w:eastAsia="zh-CN"/>
        </w:rPr>
        <w:t>如评标委员会发现投标文件存在招标文件投标人须知前附表10.1“否决投标的情形 ”符合性内容之一的，经询问核实并认定后，即可判定该投标文件初步评审不通过，应予以否决，不再进入后续评审程序。</w:t>
      </w:r>
    </w:p>
    <w:p w14:paraId="4C6CFE7C">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评标委员会应审查投标人须知前附表3.5规定要求的“资质动态核查结果证明”。</w:t>
      </w:r>
    </w:p>
    <w:p w14:paraId="1D34D8B8">
      <w:pPr>
        <w:keepNext w:val="0"/>
        <w:keepLines w:val="0"/>
        <w:pageBreakBefore w:val="0"/>
        <w:widowControl w:val="0"/>
        <w:kinsoku/>
        <w:wordWrap/>
        <w:overflowPunct/>
        <w:topLinePunct w:val="0"/>
        <w:autoSpaceDE/>
        <w:autoSpaceDN/>
        <w:bidi w:val="0"/>
        <w:adjustRightInd w:val="0"/>
        <w:snapToGrid w:val="0"/>
        <w:spacing w:before="106" w:line="400" w:lineRule="exact"/>
        <w:ind w:left="4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（二）投标文件的技术标评审</w:t>
      </w:r>
    </w:p>
    <w:p w14:paraId="2A4A292D">
      <w:pPr>
        <w:keepNext w:val="0"/>
        <w:keepLines w:val="0"/>
        <w:pageBreakBefore w:val="0"/>
        <w:widowControl w:val="0"/>
        <w:kinsoku/>
        <w:wordWrap/>
        <w:overflowPunct/>
        <w:topLinePunct w:val="0"/>
        <w:autoSpaceDE/>
        <w:autoSpaceDN/>
        <w:bidi w:val="0"/>
        <w:adjustRightInd w:val="0"/>
        <w:snapToGrid w:val="0"/>
        <w:spacing w:line="440" w:lineRule="exact"/>
        <w:ind w:left="1"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1、投标文件存在投标须知前附表10.1情形技术性内容之一的，评标委员会组织投标人询问核实后，情况属实的，技术标评审不予通过，否决其投标，不再进入后续评审程序。</w:t>
      </w:r>
    </w:p>
    <w:p w14:paraId="676034F6">
      <w:pPr>
        <w:keepNext w:val="0"/>
        <w:keepLines w:val="0"/>
        <w:pageBreakBefore w:val="0"/>
        <w:widowControl w:val="0"/>
        <w:kinsoku/>
        <w:wordWrap/>
        <w:overflowPunct/>
        <w:topLinePunct w:val="0"/>
        <w:autoSpaceDE/>
        <w:autoSpaceDN/>
        <w:bidi w:val="0"/>
        <w:adjustRightInd w:val="0"/>
        <w:snapToGrid w:val="0"/>
        <w:spacing w:line="440" w:lineRule="exact"/>
        <w:ind w:left="1" w:right="0" w:firstLine="422"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2、技术标评分(☑≤30分，适用于技术复杂项目；□≤20分，适用于非技术复杂项目）</w:t>
      </w:r>
    </w:p>
    <w:p w14:paraId="2B40E46E">
      <w:pPr>
        <w:keepNext w:val="0"/>
        <w:keepLines w:val="0"/>
        <w:pageBreakBefore w:val="0"/>
        <w:widowControl w:val="0"/>
        <w:kinsoku/>
        <w:wordWrap/>
        <w:overflowPunct/>
        <w:topLinePunct w:val="0"/>
        <w:autoSpaceDE/>
        <w:autoSpaceDN/>
        <w:bidi w:val="0"/>
        <w:adjustRightInd w:val="0"/>
        <w:snapToGrid w:val="0"/>
        <w:spacing w:line="440" w:lineRule="exact"/>
        <w:ind w:left="1"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（1）由评标委员会各成员按评审因素和评分标准进行独立评分（保留2位小数）并署名。</w:t>
      </w:r>
    </w:p>
    <w:p w14:paraId="490336E4">
      <w:pPr>
        <w:keepNext w:val="0"/>
        <w:keepLines w:val="0"/>
        <w:pageBreakBefore w:val="0"/>
        <w:widowControl w:val="0"/>
        <w:kinsoku/>
        <w:wordWrap/>
        <w:overflowPunct/>
        <w:topLinePunct w:val="0"/>
        <w:autoSpaceDE/>
        <w:autoSpaceDN/>
        <w:bidi w:val="0"/>
        <w:adjustRightInd w:val="0"/>
        <w:snapToGrid w:val="0"/>
        <w:spacing w:line="440" w:lineRule="exact"/>
        <w:ind w:left="11"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技术评审主要因素包括以下内容。</w:t>
      </w:r>
    </w:p>
    <w:p w14:paraId="2ADC2F55">
      <w:pPr>
        <w:keepNext w:val="0"/>
        <w:keepLines w:val="0"/>
        <w:pageBreakBefore w:val="0"/>
        <w:widowControl w:val="0"/>
        <w:numPr>
          <w:ilvl w:val="0"/>
          <w:numId w:val="0"/>
        </w:numPr>
        <w:kinsoku/>
        <w:wordWrap/>
        <w:overflowPunct/>
        <w:topLinePunct w:val="0"/>
        <w:autoSpaceDE/>
        <w:autoSpaceDN/>
        <w:bidi w:val="0"/>
        <w:adjustRightInd w:val="0"/>
        <w:snapToGrid w:val="0"/>
        <w:spacing w:before="127" w:line="400" w:lineRule="exact"/>
        <w:ind w:left="73" w:leftChars="0" w:right="347" w:rightChars="0"/>
        <w:jc w:val="center"/>
        <w:textAlignment w:val="auto"/>
        <w:outlineLvl w:val="9"/>
        <w:rPr>
          <w:rFonts w:hint="eastAsia" w:ascii="宋体" w:hAnsi="宋体" w:eastAsia="宋体" w:cs="宋体"/>
          <w:i w:val="0"/>
          <w:iCs w:val="0"/>
          <w:color w:val="000000" w:themeColor="text1"/>
          <w:spacing w:val="0"/>
          <w:sz w:val="21"/>
          <w:szCs w:val="21"/>
          <w:highlight w:val="yellow"/>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技术评审因素表</w:t>
      </w:r>
    </w:p>
    <w:tbl>
      <w:tblPr>
        <w:tblStyle w:val="24"/>
        <w:tblpPr w:leftFromText="180" w:rightFromText="180" w:vertAnchor="text" w:horzAnchor="page" w:tblpX="1279" w:tblpY="396"/>
        <w:tblOverlap w:val="never"/>
        <w:tblW w:w="993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9" w:type="dxa"/>
          <w:bottom w:w="0" w:type="dxa"/>
          <w:right w:w="79" w:type="dxa"/>
        </w:tblCellMar>
      </w:tblPr>
      <w:tblGrid>
        <w:gridCol w:w="989"/>
        <w:gridCol w:w="1256"/>
        <w:gridCol w:w="6542"/>
        <w:gridCol w:w="1151"/>
      </w:tblGrid>
      <w:tr w14:paraId="416944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414" w:hRule="atLeast"/>
        </w:trPr>
        <w:tc>
          <w:tcPr>
            <w:tcW w:w="989" w:type="dxa"/>
            <w:tcBorders>
              <w:right w:val="single" w:color="auto" w:sz="4" w:space="0"/>
            </w:tcBorders>
            <w:noWrap w:val="0"/>
            <w:vAlign w:val="center"/>
          </w:tcPr>
          <w:p w14:paraId="4CF9A1ED">
            <w:pPr>
              <w:bidi w:val="0"/>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条款</w:t>
            </w:r>
          </w:p>
        </w:tc>
        <w:tc>
          <w:tcPr>
            <w:tcW w:w="1256" w:type="dxa"/>
            <w:tcBorders>
              <w:top w:val="single" w:color="auto" w:sz="4" w:space="0"/>
              <w:left w:val="single" w:color="auto" w:sz="4" w:space="0"/>
              <w:right w:val="single" w:color="auto" w:sz="4" w:space="0"/>
            </w:tcBorders>
            <w:noWrap w:val="0"/>
            <w:vAlign w:val="center"/>
          </w:tcPr>
          <w:p w14:paraId="2551A89C">
            <w:pPr>
              <w:bidi w:val="0"/>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主项</w:t>
            </w:r>
          </w:p>
        </w:tc>
        <w:tc>
          <w:tcPr>
            <w:tcW w:w="6542" w:type="dxa"/>
            <w:tcBorders>
              <w:top w:val="single" w:color="auto" w:sz="4" w:space="0"/>
              <w:left w:val="single" w:color="auto" w:sz="4" w:space="0"/>
              <w:right w:val="single" w:color="auto" w:sz="4" w:space="0"/>
            </w:tcBorders>
            <w:noWrap w:val="0"/>
            <w:vAlign w:val="center"/>
          </w:tcPr>
          <w:p w14:paraId="6F3CDE45">
            <w:pPr>
              <w:bidi w:val="0"/>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内容</w:t>
            </w:r>
          </w:p>
        </w:tc>
        <w:tc>
          <w:tcPr>
            <w:tcW w:w="1151" w:type="dxa"/>
            <w:tcBorders>
              <w:top w:val="single" w:color="auto" w:sz="4" w:space="0"/>
              <w:left w:val="single" w:color="auto" w:sz="4" w:space="0"/>
              <w:bottom w:val="single" w:color="auto" w:sz="4" w:space="0"/>
            </w:tcBorders>
            <w:noWrap w:val="0"/>
            <w:vAlign w:val="center"/>
          </w:tcPr>
          <w:p w14:paraId="723B446B">
            <w:pPr>
              <w:bidi w:val="0"/>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分值</w:t>
            </w:r>
          </w:p>
        </w:tc>
      </w:tr>
      <w:tr w14:paraId="05747B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907" w:hRule="atLeast"/>
        </w:trPr>
        <w:tc>
          <w:tcPr>
            <w:tcW w:w="989" w:type="dxa"/>
            <w:vMerge w:val="restart"/>
            <w:tcBorders>
              <w:top w:val="single" w:color="auto" w:sz="4" w:space="0"/>
              <w:right w:val="single" w:color="auto" w:sz="4" w:space="0"/>
            </w:tcBorders>
            <w:noWrap w:val="0"/>
            <w:vAlign w:val="center"/>
          </w:tcPr>
          <w:p w14:paraId="0B3EF8F4">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技术分</w:t>
            </w:r>
          </w:p>
          <w:p w14:paraId="509B7578">
            <w:pPr>
              <w:bidi w:val="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分）</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0F660DBD">
            <w:pPr>
              <w:bidi w:val="0"/>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工程总承包管理方案</w:t>
            </w:r>
          </w:p>
          <w:p w14:paraId="445AC2A8">
            <w:pPr>
              <w:bidi w:val="0"/>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分）</w:t>
            </w:r>
          </w:p>
        </w:tc>
        <w:tc>
          <w:tcPr>
            <w:tcW w:w="6542" w:type="dxa"/>
            <w:tcBorders>
              <w:top w:val="single" w:color="auto" w:sz="4" w:space="0"/>
              <w:left w:val="single" w:color="auto" w:sz="4" w:space="0"/>
              <w:bottom w:val="single" w:color="auto" w:sz="4" w:space="0"/>
            </w:tcBorders>
            <w:noWrap w:val="0"/>
            <w:vAlign w:val="center"/>
          </w:tcPr>
          <w:p w14:paraId="6BEEDB82">
            <w:pPr>
              <w:keepNext w:val="0"/>
              <w:keepLines w:val="0"/>
              <w:pageBreakBefore w:val="0"/>
              <w:widowControl/>
              <w:kinsoku/>
              <w:wordWrap/>
              <w:overflowPunct/>
              <w:topLinePunct w:val="0"/>
              <w:autoSpaceDE w:val="0"/>
              <w:autoSpaceDN w:val="0"/>
              <w:bidi w:val="0"/>
              <w:adjustRightInd w:val="0"/>
              <w:snapToGrid w:val="0"/>
              <w:jc w:val="both"/>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对本项目的</w:t>
            </w:r>
            <w:r>
              <w:rPr>
                <w:rFonts w:hint="eastAsia"/>
                <w:color w:val="auto"/>
              </w:rPr>
              <w:t>项目管理大纲、组织机构、项目进度管理与控制、项目质量管理与控制、项目投资管理与控制、项目信息文档管理与控制措施等</w:t>
            </w:r>
            <w:r>
              <w:rPr>
                <w:rFonts w:hint="eastAsia" w:ascii="宋体" w:hAnsi="宋体" w:eastAsia="宋体" w:cs="宋体"/>
                <w:color w:val="auto"/>
                <w:highlight w:val="none"/>
                <w:lang w:eastAsia="zh-CN"/>
              </w:rPr>
              <w:t>进行评分</w:t>
            </w:r>
            <w:r>
              <w:rPr>
                <w:rFonts w:hint="eastAsia"/>
                <w:color w:val="auto"/>
              </w:rPr>
              <w:t>。</w:t>
            </w:r>
          </w:p>
        </w:tc>
        <w:tc>
          <w:tcPr>
            <w:tcW w:w="1151" w:type="dxa"/>
            <w:tcBorders>
              <w:top w:val="single" w:color="auto" w:sz="4" w:space="0"/>
              <w:left w:val="single" w:color="auto" w:sz="4" w:space="0"/>
              <w:bottom w:val="single" w:color="auto" w:sz="4" w:space="0"/>
            </w:tcBorders>
            <w:noWrap w:val="0"/>
            <w:vAlign w:val="center"/>
          </w:tcPr>
          <w:p w14:paraId="10B77CB5">
            <w:pPr>
              <w:bidi w:val="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2.4-3</w:t>
            </w:r>
            <w:r>
              <w:rPr>
                <w:rFonts w:hint="eastAsia" w:ascii="宋体" w:hAnsi="宋体" w:eastAsia="宋体" w:cs="宋体"/>
                <w:color w:val="auto"/>
                <w:highlight w:val="none"/>
                <w:lang w:val="en-US" w:eastAsia="zh-CN"/>
              </w:rPr>
              <w:t>分</w:t>
            </w:r>
          </w:p>
        </w:tc>
      </w:tr>
      <w:tr w14:paraId="2104F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643" w:hRule="atLeast"/>
        </w:trPr>
        <w:tc>
          <w:tcPr>
            <w:tcW w:w="989" w:type="dxa"/>
            <w:vMerge w:val="continue"/>
            <w:tcBorders>
              <w:right w:val="single" w:color="auto" w:sz="4" w:space="0"/>
            </w:tcBorders>
            <w:noWrap w:val="0"/>
            <w:vAlign w:val="center"/>
          </w:tcPr>
          <w:p w14:paraId="4F533F66">
            <w:pPr>
              <w:bidi w:val="0"/>
              <w:rPr>
                <w:color w:val="000000" w:themeColor="text1"/>
                <w:highlight w:val="none"/>
                <w14:textFill>
                  <w14:solidFill>
                    <w14:schemeClr w14:val="tx1"/>
                  </w14:solidFill>
                </w14:textFill>
              </w:rPr>
            </w:pPr>
          </w:p>
        </w:tc>
        <w:tc>
          <w:tcPr>
            <w:tcW w:w="1256" w:type="dxa"/>
            <w:vMerge w:val="restart"/>
            <w:tcBorders>
              <w:top w:val="single" w:color="auto" w:sz="4" w:space="0"/>
              <w:left w:val="single" w:color="auto" w:sz="4" w:space="0"/>
              <w:bottom w:val="single" w:color="auto" w:sz="4" w:space="0"/>
              <w:right w:val="single" w:color="auto" w:sz="4" w:space="0"/>
            </w:tcBorders>
            <w:noWrap w:val="0"/>
            <w:vAlign w:val="center"/>
          </w:tcPr>
          <w:p w14:paraId="76878BF6">
            <w:pPr>
              <w:bidi w:val="0"/>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设计</w:t>
            </w:r>
            <w:r>
              <w:rPr>
                <w:rFonts w:hint="eastAsia" w:ascii="宋体" w:hAnsi="宋体" w:cs="宋体"/>
                <w:color w:val="000000" w:themeColor="text1"/>
                <w:highlight w:val="none"/>
                <w:lang w:val="en-US" w:eastAsia="zh-CN"/>
                <w14:textFill>
                  <w14:solidFill>
                    <w14:schemeClr w14:val="tx1"/>
                  </w14:solidFill>
                </w14:textFill>
              </w:rPr>
              <w:t>方案</w:t>
            </w:r>
          </w:p>
          <w:p w14:paraId="3F074BA3">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13</w:t>
            </w:r>
            <w:r>
              <w:rPr>
                <w:rFonts w:hint="eastAsia" w:ascii="宋体" w:hAnsi="宋体" w:eastAsia="宋体" w:cs="宋体"/>
                <w:color w:val="000000" w:themeColor="text1"/>
                <w:highlight w:val="none"/>
                <w14:textFill>
                  <w14:solidFill>
                    <w14:schemeClr w14:val="tx1"/>
                  </w14:solidFill>
                </w14:textFill>
              </w:rPr>
              <w:t>分）</w:t>
            </w:r>
          </w:p>
        </w:tc>
        <w:tc>
          <w:tcPr>
            <w:tcW w:w="6542" w:type="dxa"/>
            <w:tcBorders>
              <w:top w:val="single" w:color="auto" w:sz="4" w:space="0"/>
              <w:left w:val="single" w:color="auto" w:sz="4" w:space="0"/>
            </w:tcBorders>
            <w:noWrap w:val="0"/>
            <w:vAlign w:val="center"/>
          </w:tcPr>
          <w:p w14:paraId="62CBEBBF">
            <w:pPr>
              <w:bidi w:val="0"/>
              <w:rPr>
                <w:rFonts w:hint="eastAsia" w:ascii="Times New Roman" w:hAnsi="Times New Roman" w:eastAsia="宋体" w:cs="Times New Roman"/>
                <w:color w:val="auto"/>
                <w:kern w:val="2"/>
                <w:sz w:val="21"/>
                <w:szCs w:val="24"/>
                <w:lang w:val="en-US" w:eastAsia="zh-CN" w:bidi="ar-SA"/>
              </w:rPr>
            </w:pPr>
            <w:r>
              <w:rPr>
                <w:rFonts w:hint="eastAsia"/>
                <w:color w:val="auto"/>
              </w:rPr>
              <w:t>工程经济的合理分析、评价（投资估算是否与设计方案匹配、是否结合现场建设条件，各项指标取值是否合理、是否满足相关规范要求等）。</w:t>
            </w:r>
          </w:p>
        </w:tc>
        <w:tc>
          <w:tcPr>
            <w:tcW w:w="1151" w:type="dxa"/>
            <w:tcBorders>
              <w:top w:val="single" w:color="auto" w:sz="4" w:space="0"/>
              <w:left w:val="single" w:color="auto" w:sz="4" w:space="0"/>
              <w:bottom w:val="single" w:color="auto" w:sz="4" w:space="0"/>
            </w:tcBorders>
            <w:noWrap w:val="0"/>
            <w:vAlign w:val="center"/>
          </w:tcPr>
          <w:p w14:paraId="16E36FDA">
            <w:pPr>
              <w:bidi w:val="0"/>
              <w:jc w:val="center"/>
              <w:rPr>
                <w:rFonts w:hint="eastAsia" w:ascii="宋体" w:hAnsi="宋体" w:eastAsia="宋体" w:cs="宋体"/>
                <w:color w:val="auto"/>
                <w:kern w:val="2"/>
                <w:sz w:val="21"/>
                <w:szCs w:val="24"/>
                <w:lang w:val="en-US" w:eastAsia="zh-CN" w:bidi="ar-SA"/>
              </w:rPr>
            </w:pPr>
            <w:r>
              <w:rPr>
                <w:rFonts w:hint="eastAsia" w:ascii="宋体" w:hAnsi="宋体" w:cs="宋体"/>
                <w:color w:val="auto"/>
                <w:lang w:val="en-US" w:eastAsia="zh-CN"/>
              </w:rPr>
              <w:t>2.4</w:t>
            </w:r>
            <w:r>
              <w:rPr>
                <w:rFonts w:hint="eastAsia" w:ascii="宋体" w:hAnsi="宋体" w:eastAsia="宋体" w:cs="宋体"/>
                <w:color w:val="auto"/>
                <w:lang w:val="en-US" w:eastAsia="zh-CN"/>
              </w:rPr>
              <w:t>-4分</w:t>
            </w:r>
          </w:p>
        </w:tc>
      </w:tr>
      <w:tr w14:paraId="75CF7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563" w:hRule="atLeast"/>
        </w:trPr>
        <w:tc>
          <w:tcPr>
            <w:tcW w:w="989" w:type="dxa"/>
            <w:vMerge w:val="continue"/>
            <w:tcBorders>
              <w:right w:val="single" w:color="auto" w:sz="4" w:space="0"/>
            </w:tcBorders>
            <w:noWrap w:val="0"/>
            <w:vAlign w:val="center"/>
          </w:tcPr>
          <w:p w14:paraId="0BDB0453">
            <w:pPr>
              <w:bidi w:val="0"/>
              <w:rPr>
                <w:rFonts w:hint="eastAsia"/>
                <w:color w:val="000000" w:themeColor="text1"/>
                <w:highlight w:val="none"/>
                <w14:textFill>
                  <w14:solidFill>
                    <w14:schemeClr w14:val="tx1"/>
                  </w14:solidFill>
                </w14:textFill>
              </w:rPr>
            </w:pPr>
          </w:p>
        </w:tc>
        <w:tc>
          <w:tcPr>
            <w:tcW w:w="1256" w:type="dxa"/>
            <w:vMerge w:val="continue"/>
            <w:tcBorders>
              <w:top w:val="single" w:color="auto" w:sz="4" w:space="0"/>
              <w:left w:val="single" w:color="auto" w:sz="4" w:space="0"/>
              <w:bottom w:val="single" w:color="auto" w:sz="4" w:space="0"/>
              <w:right w:val="single" w:color="auto" w:sz="4" w:space="0"/>
            </w:tcBorders>
            <w:noWrap w:val="0"/>
            <w:vAlign w:val="center"/>
          </w:tcPr>
          <w:p w14:paraId="3A78E089">
            <w:pPr>
              <w:bidi w:val="0"/>
              <w:jc w:val="center"/>
              <w:rPr>
                <w:rFonts w:hint="eastAsia" w:ascii="宋体" w:hAnsi="宋体" w:eastAsia="宋体" w:cs="宋体"/>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tcBorders>
            <w:noWrap w:val="0"/>
            <w:vAlign w:val="center"/>
          </w:tcPr>
          <w:p w14:paraId="309CABF8">
            <w:pPr>
              <w:bidi w:val="0"/>
              <w:rPr>
                <w:rFonts w:hint="eastAsia" w:ascii="Times New Roman" w:hAnsi="Times New Roman" w:eastAsia="宋体" w:cs="Times New Roman"/>
                <w:color w:val="auto"/>
                <w:kern w:val="2"/>
                <w:sz w:val="21"/>
                <w:szCs w:val="24"/>
                <w:lang w:val="en-US" w:eastAsia="zh-CN" w:bidi="ar-SA"/>
              </w:rPr>
            </w:pPr>
            <w:r>
              <w:rPr>
                <w:rFonts w:hint="eastAsia"/>
                <w:color w:val="auto"/>
                <w:lang w:eastAsia="zh-CN"/>
              </w:rPr>
              <w:t>对设计管理机构的组成和设计力量的配备进行评分。</w:t>
            </w:r>
          </w:p>
        </w:tc>
        <w:tc>
          <w:tcPr>
            <w:tcW w:w="1151" w:type="dxa"/>
            <w:tcBorders>
              <w:top w:val="single" w:color="auto" w:sz="4" w:space="0"/>
              <w:left w:val="single" w:color="auto" w:sz="4" w:space="0"/>
              <w:bottom w:val="single" w:color="auto" w:sz="4" w:space="0"/>
            </w:tcBorders>
            <w:noWrap w:val="0"/>
            <w:vAlign w:val="center"/>
          </w:tcPr>
          <w:p w14:paraId="3E121B68">
            <w:pPr>
              <w:bidi w:val="0"/>
              <w:jc w:val="center"/>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lang w:val="en-US" w:eastAsia="zh-CN"/>
              </w:rPr>
              <w:t>1.</w:t>
            </w:r>
            <w:r>
              <w:rPr>
                <w:rFonts w:hint="eastAsia" w:ascii="宋体" w:hAnsi="宋体" w:cs="宋体"/>
                <w:color w:val="auto"/>
                <w:lang w:val="en-US" w:eastAsia="zh-CN"/>
              </w:rPr>
              <w:t>8</w:t>
            </w:r>
            <w:r>
              <w:rPr>
                <w:rFonts w:hint="eastAsia" w:ascii="宋体" w:hAnsi="宋体" w:eastAsia="宋体" w:cs="宋体"/>
                <w:color w:val="auto"/>
                <w:lang w:val="en-US" w:eastAsia="zh-CN"/>
              </w:rPr>
              <w:t>-3</w:t>
            </w:r>
            <w:r>
              <w:rPr>
                <w:rFonts w:hint="eastAsia" w:ascii="宋体" w:hAnsi="宋体" w:eastAsia="宋体" w:cs="宋体"/>
                <w:color w:val="auto"/>
              </w:rPr>
              <w:t>分</w:t>
            </w:r>
          </w:p>
        </w:tc>
      </w:tr>
      <w:tr w14:paraId="08C28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588" w:hRule="atLeast"/>
        </w:trPr>
        <w:tc>
          <w:tcPr>
            <w:tcW w:w="989" w:type="dxa"/>
            <w:vMerge w:val="continue"/>
            <w:tcBorders>
              <w:right w:val="single" w:color="auto" w:sz="4" w:space="0"/>
            </w:tcBorders>
            <w:noWrap w:val="0"/>
            <w:vAlign w:val="center"/>
          </w:tcPr>
          <w:p w14:paraId="03E9A695">
            <w:pPr>
              <w:bidi w:val="0"/>
              <w:rPr>
                <w:rFonts w:hint="eastAsia"/>
                <w:color w:val="000000" w:themeColor="text1"/>
                <w:highlight w:val="none"/>
                <w14:textFill>
                  <w14:solidFill>
                    <w14:schemeClr w14:val="tx1"/>
                  </w14:solidFill>
                </w14:textFill>
              </w:rPr>
            </w:pPr>
          </w:p>
        </w:tc>
        <w:tc>
          <w:tcPr>
            <w:tcW w:w="1256" w:type="dxa"/>
            <w:vMerge w:val="continue"/>
            <w:tcBorders>
              <w:top w:val="single" w:color="auto" w:sz="4" w:space="0"/>
              <w:left w:val="single" w:color="auto" w:sz="4" w:space="0"/>
              <w:bottom w:val="single" w:color="auto" w:sz="4" w:space="0"/>
              <w:right w:val="single" w:color="auto" w:sz="4" w:space="0"/>
            </w:tcBorders>
            <w:noWrap w:val="0"/>
            <w:vAlign w:val="center"/>
          </w:tcPr>
          <w:p w14:paraId="2668B7F8">
            <w:pPr>
              <w:bidi w:val="0"/>
              <w:jc w:val="center"/>
              <w:rPr>
                <w:rFonts w:hint="eastAsia" w:ascii="宋体" w:hAnsi="宋体" w:eastAsia="宋体" w:cs="宋体"/>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tcBorders>
            <w:noWrap w:val="0"/>
            <w:vAlign w:val="center"/>
          </w:tcPr>
          <w:p w14:paraId="77673E66">
            <w:pPr>
              <w:bidi w:val="0"/>
              <w:rPr>
                <w:rFonts w:hint="eastAsia" w:ascii="Times New Roman" w:hAnsi="Times New Roman" w:eastAsia="宋体" w:cs="Times New Roman"/>
                <w:color w:val="auto"/>
                <w:kern w:val="2"/>
                <w:sz w:val="21"/>
                <w:szCs w:val="24"/>
                <w:lang w:val="en-US" w:eastAsia="zh-CN" w:bidi="ar-SA"/>
              </w:rPr>
            </w:pPr>
            <w:r>
              <w:rPr>
                <w:rFonts w:hint="eastAsia"/>
                <w:color w:val="auto"/>
                <w:lang w:eastAsia="zh-CN"/>
              </w:rPr>
              <w:t>对投标人提出的详细可行的具体落实措施、适用规范、标准、质量检验办法及文明安全生产工作方案进行评分。</w:t>
            </w:r>
          </w:p>
        </w:tc>
        <w:tc>
          <w:tcPr>
            <w:tcW w:w="1151" w:type="dxa"/>
            <w:tcBorders>
              <w:top w:val="single" w:color="auto" w:sz="4" w:space="0"/>
              <w:left w:val="single" w:color="auto" w:sz="4" w:space="0"/>
              <w:bottom w:val="single" w:color="auto" w:sz="4" w:space="0"/>
            </w:tcBorders>
            <w:noWrap w:val="0"/>
            <w:vAlign w:val="center"/>
          </w:tcPr>
          <w:p w14:paraId="56C4E159">
            <w:pPr>
              <w:bidi w:val="0"/>
              <w:jc w:val="center"/>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lang w:val="en-US" w:eastAsia="zh-CN"/>
              </w:rPr>
              <w:t>1.</w:t>
            </w:r>
            <w:r>
              <w:rPr>
                <w:rFonts w:hint="eastAsia" w:ascii="宋体" w:hAnsi="宋体" w:cs="宋体"/>
                <w:color w:val="auto"/>
                <w:lang w:val="en-US" w:eastAsia="zh-CN"/>
              </w:rPr>
              <w:t>8</w:t>
            </w:r>
            <w:r>
              <w:rPr>
                <w:rFonts w:hint="eastAsia" w:ascii="宋体" w:hAnsi="宋体" w:eastAsia="宋体" w:cs="宋体"/>
                <w:color w:val="auto"/>
                <w:lang w:val="en-US" w:eastAsia="zh-CN"/>
              </w:rPr>
              <w:t>-3</w:t>
            </w:r>
            <w:r>
              <w:rPr>
                <w:rFonts w:hint="eastAsia" w:ascii="宋体" w:hAnsi="宋体" w:eastAsia="宋体" w:cs="宋体"/>
                <w:color w:val="auto"/>
              </w:rPr>
              <w:t>分</w:t>
            </w:r>
          </w:p>
        </w:tc>
      </w:tr>
      <w:tr w14:paraId="53648B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452" w:hRule="atLeast"/>
        </w:trPr>
        <w:tc>
          <w:tcPr>
            <w:tcW w:w="989" w:type="dxa"/>
            <w:vMerge w:val="continue"/>
            <w:tcBorders>
              <w:right w:val="single" w:color="auto" w:sz="4" w:space="0"/>
            </w:tcBorders>
            <w:noWrap w:val="0"/>
            <w:vAlign w:val="center"/>
          </w:tcPr>
          <w:p w14:paraId="552FF75D">
            <w:pPr>
              <w:bidi w:val="0"/>
              <w:rPr>
                <w:rFonts w:hint="eastAsia"/>
                <w:color w:val="000000" w:themeColor="text1"/>
                <w:highlight w:val="none"/>
                <w14:textFill>
                  <w14:solidFill>
                    <w14:schemeClr w14:val="tx1"/>
                  </w14:solidFill>
                </w14:textFill>
              </w:rPr>
            </w:pPr>
          </w:p>
        </w:tc>
        <w:tc>
          <w:tcPr>
            <w:tcW w:w="1256" w:type="dxa"/>
            <w:vMerge w:val="continue"/>
            <w:tcBorders>
              <w:top w:val="single" w:color="auto" w:sz="4" w:space="0"/>
              <w:left w:val="single" w:color="auto" w:sz="4" w:space="0"/>
              <w:bottom w:val="single" w:color="auto" w:sz="4" w:space="0"/>
              <w:right w:val="single" w:color="auto" w:sz="4" w:space="0"/>
            </w:tcBorders>
            <w:noWrap w:val="0"/>
            <w:vAlign w:val="center"/>
          </w:tcPr>
          <w:p w14:paraId="739E07B5">
            <w:pPr>
              <w:bidi w:val="0"/>
              <w:jc w:val="center"/>
              <w:rPr>
                <w:rFonts w:hint="eastAsia" w:ascii="宋体" w:hAnsi="宋体" w:eastAsia="宋体" w:cs="宋体"/>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tcBorders>
            <w:noWrap w:val="0"/>
            <w:vAlign w:val="center"/>
          </w:tcPr>
          <w:p w14:paraId="5628B90E">
            <w:pPr>
              <w:bidi w:val="0"/>
              <w:rPr>
                <w:rFonts w:hint="eastAsia" w:ascii="Times New Roman" w:hAnsi="Times New Roman" w:eastAsia="宋体" w:cs="Times New Roman"/>
                <w:color w:val="auto"/>
                <w:kern w:val="2"/>
                <w:sz w:val="21"/>
                <w:szCs w:val="24"/>
                <w:lang w:val="en-US" w:eastAsia="zh-CN" w:bidi="ar-SA"/>
              </w:rPr>
            </w:pPr>
            <w:r>
              <w:rPr>
                <w:rFonts w:hint="eastAsia"/>
                <w:color w:val="auto"/>
                <w:lang w:eastAsia="zh-CN"/>
              </w:rPr>
              <w:t>对</w:t>
            </w:r>
            <w:r>
              <w:rPr>
                <w:rFonts w:hint="eastAsia"/>
                <w:color w:val="auto"/>
              </w:rPr>
              <w:t>设计组织方案及各阶段计划进度安排</w:t>
            </w:r>
            <w:r>
              <w:rPr>
                <w:rFonts w:hint="eastAsia"/>
                <w:color w:val="auto"/>
                <w:lang w:eastAsia="zh-CN"/>
              </w:rPr>
              <w:t>进行评分</w:t>
            </w:r>
            <w:r>
              <w:rPr>
                <w:rFonts w:hint="eastAsia"/>
                <w:color w:val="auto"/>
              </w:rPr>
              <w:t>。</w:t>
            </w:r>
          </w:p>
        </w:tc>
        <w:tc>
          <w:tcPr>
            <w:tcW w:w="1151" w:type="dxa"/>
            <w:tcBorders>
              <w:top w:val="single" w:color="auto" w:sz="4" w:space="0"/>
              <w:left w:val="single" w:color="auto" w:sz="4" w:space="0"/>
              <w:bottom w:val="single" w:color="auto" w:sz="4" w:space="0"/>
            </w:tcBorders>
            <w:noWrap w:val="0"/>
            <w:vAlign w:val="center"/>
          </w:tcPr>
          <w:p w14:paraId="29B35016">
            <w:pPr>
              <w:bidi w:val="0"/>
              <w:jc w:val="center"/>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lang w:val="en-US" w:eastAsia="zh-CN"/>
              </w:rPr>
              <w:t>1.</w:t>
            </w:r>
            <w:r>
              <w:rPr>
                <w:rFonts w:hint="eastAsia" w:ascii="宋体" w:hAnsi="宋体" w:cs="宋体"/>
                <w:color w:val="auto"/>
                <w:lang w:val="en-US" w:eastAsia="zh-CN"/>
              </w:rPr>
              <w:t>8</w:t>
            </w:r>
            <w:r>
              <w:rPr>
                <w:rFonts w:hint="eastAsia" w:ascii="宋体" w:hAnsi="宋体" w:eastAsia="宋体" w:cs="宋体"/>
                <w:color w:val="auto"/>
                <w:lang w:val="en-US" w:eastAsia="zh-CN"/>
              </w:rPr>
              <w:t>-3</w:t>
            </w:r>
            <w:r>
              <w:rPr>
                <w:rFonts w:hint="eastAsia" w:ascii="宋体" w:hAnsi="宋体" w:eastAsia="宋体" w:cs="宋体"/>
                <w:color w:val="auto"/>
              </w:rPr>
              <w:t>分</w:t>
            </w:r>
          </w:p>
        </w:tc>
      </w:tr>
      <w:tr w14:paraId="02D0B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392" w:hRule="atLeast"/>
        </w:trPr>
        <w:tc>
          <w:tcPr>
            <w:tcW w:w="989" w:type="dxa"/>
            <w:vMerge w:val="continue"/>
            <w:tcBorders>
              <w:right w:val="single" w:color="auto" w:sz="4" w:space="0"/>
            </w:tcBorders>
            <w:noWrap w:val="0"/>
            <w:vAlign w:val="center"/>
          </w:tcPr>
          <w:p w14:paraId="01C55BE1">
            <w:pPr>
              <w:bidi w:val="0"/>
              <w:rPr>
                <w:rFonts w:hint="eastAsia"/>
                <w:color w:val="000000" w:themeColor="text1"/>
                <w:highlight w:val="none"/>
                <w14:textFill>
                  <w14:solidFill>
                    <w14:schemeClr w14:val="tx1"/>
                  </w14:solidFill>
                </w14:textFill>
              </w:rPr>
            </w:pPr>
          </w:p>
        </w:tc>
        <w:tc>
          <w:tcPr>
            <w:tcW w:w="1256" w:type="dxa"/>
            <w:vMerge w:val="restart"/>
            <w:tcBorders>
              <w:top w:val="single" w:color="auto" w:sz="4" w:space="0"/>
              <w:left w:val="single" w:color="auto" w:sz="4" w:space="0"/>
              <w:bottom w:val="single" w:color="auto" w:sz="4" w:space="0"/>
              <w:right w:val="single" w:color="auto" w:sz="4" w:space="0"/>
            </w:tcBorders>
            <w:noWrap w:val="0"/>
            <w:vAlign w:val="center"/>
          </w:tcPr>
          <w:p w14:paraId="284F2C7C">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施工方案</w:t>
            </w:r>
          </w:p>
          <w:p w14:paraId="2FAB8894">
            <w:pPr>
              <w:bidi w:val="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分）</w:t>
            </w:r>
          </w:p>
          <w:p w14:paraId="31F95323">
            <w:pPr>
              <w:bidi w:val="0"/>
              <w:jc w:val="center"/>
              <w:rPr>
                <w:rFonts w:hint="eastAsia" w:ascii="宋体" w:hAnsi="宋体" w:eastAsia="宋体" w:cs="宋体"/>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right w:val="single" w:color="auto" w:sz="4" w:space="0"/>
            </w:tcBorders>
            <w:noWrap w:val="0"/>
            <w:vAlign w:val="top"/>
          </w:tcPr>
          <w:p w14:paraId="6CF38414">
            <w:pPr>
              <w:bidi w:val="0"/>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派驻现场的工程技术管理人员的专业配置是否合理、各专业工种的配置和劳动力的投入是否能满足工程的需要；施工机具和检验仪器的投入是否能够满足工程质量和进度的要求。</w:t>
            </w:r>
          </w:p>
        </w:tc>
        <w:tc>
          <w:tcPr>
            <w:tcW w:w="1151" w:type="dxa"/>
            <w:tcBorders>
              <w:top w:val="single" w:color="auto" w:sz="4" w:space="0"/>
              <w:left w:val="single" w:color="auto" w:sz="4" w:space="0"/>
              <w:bottom w:val="single" w:color="auto" w:sz="4" w:space="0"/>
            </w:tcBorders>
            <w:noWrap w:val="0"/>
            <w:vAlign w:val="center"/>
          </w:tcPr>
          <w:p w14:paraId="0A41D11A">
            <w:pPr>
              <w:bidi w:val="0"/>
              <w:jc w:val="center"/>
              <w:rPr>
                <w:rFonts w:hint="eastAsia" w:ascii="宋体" w:hAnsi="宋体" w:eastAsia="宋体" w:cs="宋体"/>
                <w:color w:val="auto"/>
                <w:kern w:val="2"/>
                <w:sz w:val="21"/>
                <w:szCs w:val="24"/>
                <w:lang w:val="en-US" w:eastAsia="zh-CN" w:bidi="ar-SA"/>
              </w:rPr>
            </w:pPr>
            <w:r>
              <w:rPr>
                <w:rFonts w:hint="eastAsia" w:ascii="宋体" w:hAnsi="宋体" w:cs="宋体"/>
                <w:color w:val="auto"/>
                <w:lang w:val="en-US" w:eastAsia="zh-CN"/>
              </w:rPr>
              <w:t>1.6</w:t>
            </w:r>
            <w:r>
              <w:rPr>
                <w:rFonts w:hint="eastAsia" w:ascii="宋体" w:hAnsi="宋体" w:eastAsia="宋体" w:cs="宋体"/>
                <w:color w:val="auto"/>
                <w:lang w:val="en-US" w:eastAsia="zh-CN"/>
              </w:rPr>
              <w:t>-2</w:t>
            </w:r>
            <w:r>
              <w:rPr>
                <w:rFonts w:hint="eastAsia" w:ascii="宋体" w:hAnsi="宋体" w:eastAsia="宋体" w:cs="宋体"/>
                <w:color w:val="auto"/>
              </w:rPr>
              <w:t>分</w:t>
            </w:r>
          </w:p>
        </w:tc>
      </w:tr>
      <w:tr w14:paraId="6275E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275" w:hRule="atLeast"/>
        </w:trPr>
        <w:tc>
          <w:tcPr>
            <w:tcW w:w="989" w:type="dxa"/>
            <w:vMerge w:val="continue"/>
            <w:tcBorders>
              <w:right w:val="single" w:color="auto" w:sz="4" w:space="0"/>
            </w:tcBorders>
            <w:noWrap w:val="0"/>
            <w:vAlign w:val="center"/>
          </w:tcPr>
          <w:p w14:paraId="6153880C">
            <w:pPr>
              <w:bidi w:val="0"/>
              <w:rPr>
                <w:rFonts w:hint="eastAsia"/>
                <w:color w:val="000000" w:themeColor="text1"/>
                <w:highlight w:val="none"/>
                <w14:textFill>
                  <w14:solidFill>
                    <w14:schemeClr w14:val="tx1"/>
                  </w14:solidFill>
                </w14:textFill>
              </w:rPr>
            </w:pPr>
          </w:p>
        </w:tc>
        <w:tc>
          <w:tcPr>
            <w:tcW w:w="1256" w:type="dxa"/>
            <w:vMerge w:val="continue"/>
            <w:tcBorders>
              <w:top w:val="single" w:color="auto" w:sz="4" w:space="0"/>
              <w:left w:val="single" w:color="auto" w:sz="4" w:space="0"/>
              <w:bottom w:val="single" w:color="auto" w:sz="4" w:space="0"/>
              <w:right w:val="single" w:color="auto" w:sz="4" w:space="0"/>
            </w:tcBorders>
            <w:noWrap w:val="0"/>
            <w:vAlign w:val="center"/>
          </w:tcPr>
          <w:p w14:paraId="0590C2B7">
            <w:pPr>
              <w:bidi w:val="0"/>
              <w:jc w:val="center"/>
              <w:rPr>
                <w:rFonts w:hint="eastAsia"/>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right w:val="single" w:color="auto" w:sz="4" w:space="0"/>
            </w:tcBorders>
            <w:noWrap w:val="0"/>
            <w:vAlign w:val="top"/>
          </w:tcPr>
          <w:p w14:paraId="345D52B0">
            <w:pPr>
              <w:bidi w:val="0"/>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施工现场总平布置、施工进度网络计划、关键节点和线路的保证措施是否具有针对性和可行性。</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462B291F">
            <w:pPr>
              <w:bidi w:val="0"/>
              <w:jc w:val="center"/>
              <w:rPr>
                <w:rFonts w:hint="eastAsia" w:ascii="宋体" w:hAnsi="宋体" w:eastAsia="宋体" w:cs="宋体"/>
                <w:color w:val="auto"/>
                <w:kern w:val="2"/>
                <w:sz w:val="21"/>
                <w:szCs w:val="24"/>
                <w:lang w:val="en-US" w:eastAsia="zh-CN" w:bidi="ar-SA"/>
              </w:rPr>
            </w:pPr>
            <w:r>
              <w:rPr>
                <w:rFonts w:hint="eastAsia" w:ascii="宋体" w:hAnsi="宋体" w:cs="宋体"/>
                <w:color w:val="auto"/>
                <w:lang w:val="en-US" w:eastAsia="zh-CN"/>
              </w:rPr>
              <w:t>1.6</w:t>
            </w:r>
            <w:r>
              <w:rPr>
                <w:rFonts w:hint="eastAsia" w:ascii="宋体" w:hAnsi="宋体" w:eastAsia="宋体" w:cs="宋体"/>
                <w:color w:val="auto"/>
                <w:lang w:val="en-US" w:eastAsia="zh-CN"/>
              </w:rPr>
              <w:t>-2</w:t>
            </w:r>
            <w:r>
              <w:rPr>
                <w:rFonts w:hint="eastAsia" w:ascii="宋体" w:hAnsi="宋体" w:eastAsia="宋体" w:cs="宋体"/>
                <w:color w:val="auto"/>
              </w:rPr>
              <w:t>分</w:t>
            </w:r>
          </w:p>
        </w:tc>
      </w:tr>
      <w:tr w14:paraId="1F3DA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275" w:hRule="atLeast"/>
        </w:trPr>
        <w:tc>
          <w:tcPr>
            <w:tcW w:w="989" w:type="dxa"/>
            <w:vMerge w:val="continue"/>
            <w:tcBorders>
              <w:right w:val="single" w:color="auto" w:sz="4" w:space="0"/>
            </w:tcBorders>
            <w:noWrap w:val="0"/>
            <w:vAlign w:val="center"/>
          </w:tcPr>
          <w:p w14:paraId="333566DE">
            <w:pPr>
              <w:keepNext w:val="0"/>
              <w:keepLines w:val="0"/>
              <w:pageBreakBefore w:val="0"/>
              <w:widowControl/>
              <w:kinsoku/>
              <w:wordWrap/>
              <w:overflowPunct/>
              <w:topLinePunct w:val="0"/>
              <w:autoSpaceDE w:val="0"/>
              <w:autoSpaceDN w:val="0"/>
              <w:bidi w:val="0"/>
              <w:adjustRightInd w:val="0"/>
              <w:snapToGrid w:val="0"/>
              <w:jc w:val="both"/>
              <w:textAlignment w:val="baseline"/>
            </w:pPr>
          </w:p>
        </w:tc>
        <w:tc>
          <w:tcPr>
            <w:tcW w:w="1256" w:type="dxa"/>
            <w:vMerge w:val="continue"/>
            <w:tcBorders>
              <w:left w:val="single" w:color="auto" w:sz="4" w:space="0"/>
              <w:bottom w:val="single" w:color="auto" w:sz="4" w:space="0"/>
              <w:right w:val="single" w:color="auto" w:sz="4" w:space="0"/>
            </w:tcBorders>
            <w:noWrap w:val="0"/>
            <w:vAlign w:val="center"/>
          </w:tcPr>
          <w:p w14:paraId="24AA2D3D">
            <w:pPr>
              <w:keepNext w:val="0"/>
              <w:keepLines w:val="0"/>
              <w:pageBreakBefore w:val="0"/>
              <w:widowControl/>
              <w:kinsoku/>
              <w:wordWrap/>
              <w:overflowPunct/>
              <w:topLinePunct w:val="0"/>
              <w:autoSpaceDE w:val="0"/>
              <w:autoSpaceDN w:val="0"/>
              <w:bidi w:val="0"/>
              <w:adjustRightInd w:val="0"/>
              <w:snapToGrid w:val="0"/>
              <w:jc w:val="both"/>
              <w:textAlignment w:val="baseline"/>
            </w:pPr>
          </w:p>
        </w:tc>
        <w:tc>
          <w:tcPr>
            <w:tcW w:w="6542" w:type="dxa"/>
            <w:tcBorders>
              <w:top w:val="single" w:color="auto" w:sz="4" w:space="0"/>
              <w:left w:val="single" w:color="auto" w:sz="4" w:space="0"/>
              <w:bottom w:val="single" w:color="auto" w:sz="4" w:space="0"/>
              <w:right w:val="single" w:color="auto" w:sz="4" w:space="0"/>
            </w:tcBorders>
            <w:noWrap w:val="0"/>
            <w:vAlign w:val="top"/>
          </w:tcPr>
          <w:p w14:paraId="25A5C0CA">
            <w:pPr>
              <w:bidi w:val="0"/>
              <w:rPr>
                <w:rFonts w:hint="eastAsia" w:ascii="Times New Roman" w:hAnsi="Times New Roman" w:eastAsia="宋体" w:cs="Times New Roman"/>
                <w:color w:val="auto"/>
                <w:kern w:val="2"/>
                <w:sz w:val="21"/>
                <w:szCs w:val="24"/>
                <w:lang w:val="en-US" w:eastAsia="zh-CN" w:bidi="ar-SA"/>
              </w:rPr>
            </w:pPr>
            <w:r>
              <w:rPr>
                <w:rFonts w:hint="eastAsia"/>
                <w:color w:val="auto"/>
                <w:lang w:val="en-US" w:eastAsia="zh-CN"/>
              </w:rPr>
              <w:t>工程关键部位的施工方案及保证措施是否具有针对性、科学合理；施工质量的控制和检验手段是否科学、可靠。</w:t>
            </w:r>
          </w:p>
        </w:tc>
        <w:tc>
          <w:tcPr>
            <w:tcW w:w="1151" w:type="dxa"/>
            <w:tcBorders>
              <w:top w:val="single" w:color="auto" w:sz="4" w:space="0"/>
              <w:left w:val="single" w:color="auto" w:sz="4" w:space="0"/>
              <w:bottom w:val="single" w:color="auto" w:sz="4" w:space="0"/>
              <w:right w:val="single" w:color="auto" w:sz="4" w:space="0"/>
            </w:tcBorders>
            <w:noWrap w:val="0"/>
            <w:vAlign w:val="center"/>
          </w:tcPr>
          <w:p w14:paraId="6F0B203E">
            <w:pPr>
              <w:bidi w:val="0"/>
              <w:jc w:val="center"/>
              <w:rPr>
                <w:rFonts w:hint="eastAsia" w:ascii="宋体" w:hAnsi="宋体" w:eastAsia="宋体" w:cs="宋体"/>
                <w:color w:val="auto"/>
                <w:kern w:val="2"/>
                <w:sz w:val="21"/>
                <w:szCs w:val="24"/>
                <w:lang w:val="en-US" w:eastAsia="zh-CN" w:bidi="ar-SA"/>
              </w:rPr>
            </w:pPr>
            <w:r>
              <w:rPr>
                <w:rFonts w:hint="eastAsia" w:ascii="宋体" w:hAnsi="宋体" w:cs="宋体"/>
                <w:color w:val="auto"/>
                <w:lang w:val="en-US" w:eastAsia="zh-CN"/>
              </w:rPr>
              <w:t>1.6</w:t>
            </w:r>
            <w:r>
              <w:rPr>
                <w:rFonts w:hint="eastAsia" w:ascii="宋体" w:hAnsi="宋体" w:eastAsia="宋体" w:cs="宋体"/>
                <w:color w:val="auto"/>
                <w:lang w:val="en-US" w:eastAsia="zh-CN"/>
              </w:rPr>
              <w:t>-2</w:t>
            </w:r>
            <w:r>
              <w:rPr>
                <w:rFonts w:hint="eastAsia" w:ascii="宋体" w:hAnsi="宋体" w:eastAsia="宋体" w:cs="宋体"/>
                <w:color w:val="auto"/>
              </w:rPr>
              <w:t>分</w:t>
            </w:r>
          </w:p>
        </w:tc>
      </w:tr>
      <w:tr w14:paraId="4ADDAA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540" w:hRule="atLeast"/>
        </w:trPr>
        <w:tc>
          <w:tcPr>
            <w:tcW w:w="989" w:type="dxa"/>
            <w:vMerge w:val="continue"/>
            <w:tcBorders>
              <w:right w:val="single" w:color="auto" w:sz="4" w:space="0"/>
            </w:tcBorders>
            <w:noWrap w:val="0"/>
            <w:vAlign w:val="center"/>
          </w:tcPr>
          <w:p w14:paraId="64A705EA">
            <w:pPr>
              <w:bidi w:val="0"/>
              <w:rPr>
                <w:rFonts w:hint="eastAsia"/>
                <w:color w:val="000000" w:themeColor="text1"/>
                <w:highlight w:val="none"/>
                <w14:textFill>
                  <w14:solidFill>
                    <w14:schemeClr w14:val="tx1"/>
                  </w14:solidFill>
                </w14:textFill>
              </w:rPr>
            </w:pPr>
          </w:p>
        </w:tc>
        <w:tc>
          <w:tcPr>
            <w:tcW w:w="1256" w:type="dxa"/>
            <w:vMerge w:val="continue"/>
            <w:tcBorders>
              <w:top w:val="single" w:color="auto" w:sz="4" w:space="0"/>
              <w:left w:val="single" w:color="auto" w:sz="4" w:space="0"/>
              <w:bottom w:val="single" w:color="auto" w:sz="4" w:space="0"/>
              <w:right w:val="single" w:color="auto" w:sz="4" w:space="0"/>
            </w:tcBorders>
            <w:noWrap w:val="0"/>
            <w:vAlign w:val="center"/>
          </w:tcPr>
          <w:p w14:paraId="4925160D">
            <w:pPr>
              <w:bidi w:val="0"/>
              <w:jc w:val="center"/>
              <w:rPr>
                <w:rFonts w:hint="eastAsia"/>
                <w:color w:val="000000" w:themeColor="text1"/>
                <w:highlight w:val="none"/>
                <w14:textFill>
                  <w14:solidFill>
                    <w14:schemeClr w14:val="tx1"/>
                  </w14:solidFill>
                </w14:textFill>
              </w:rPr>
            </w:pPr>
          </w:p>
        </w:tc>
        <w:tc>
          <w:tcPr>
            <w:tcW w:w="6542" w:type="dxa"/>
            <w:tcBorders>
              <w:top w:val="single" w:color="auto" w:sz="4" w:space="0"/>
              <w:left w:val="single" w:color="auto" w:sz="4" w:space="0"/>
              <w:bottom w:val="single" w:color="auto" w:sz="4" w:space="0"/>
              <w:right w:val="single" w:color="auto" w:sz="4" w:space="0"/>
            </w:tcBorders>
            <w:noWrap w:val="0"/>
            <w:vAlign w:val="top"/>
          </w:tcPr>
          <w:p w14:paraId="4F111051">
            <w:pPr>
              <w:bidi w:val="0"/>
              <w:rPr>
                <w:rFonts w:hint="eastAsia" w:ascii="Times New Roman" w:hAnsi="Times New Roman" w:eastAsia="宋体" w:cs="Times New Roman"/>
                <w:color w:val="auto"/>
                <w:kern w:val="2"/>
                <w:sz w:val="21"/>
                <w:szCs w:val="24"/>
                <w:lang w:val="en-US" w:eastAsia="zh-CN" w:bidi="ar-SA"/>
              </w:rPr>
            </w:pPr>
            <w:r>
              <w:rPr>
                <w:rFonts w:hint="eastAsia"/>
                <w:color w:val="auto"/>
              </w:rPr>
              <w:t>调试试运行、竣工验收、结算、移交等工作组织和配合</w:t>
            </w:r>
            <w:r>
              <w:rPr>
                <w:rFonts w:hint="eastAsia"/>
                <w:color w:val="auto"/>
                <w:lang w:val="en-US" w:eastAsia="zh-CN"/>
              </w:rPr>
              <w:t>是否能够满足工程质量和进度的要求</w:t>
            </w:r>
            <w:r>
              <w:rPr>
                <w:rFonts w:hint="eastAsia"/>
                <w:color w:val="auto"/>
                <w:lang w:eastAsia="zh-CN"/>
              </w:rPr>
              <w:t>。</w:t>
            </w:r>
          </w:p>
        </w:tc>
        <w:tc>
          <w:tcPr>
            <w:tcW w:w="1151" w:type="dxa"/>
            <w:tcBorders>
              <w:top w:val="single" w:color="auto" w:sz="4" w:space="0"/>
              <w:left w:val="single" w:color="auto" w:sz="4" w:space="0"/>
              <w:bottom w:val="single" w:color="auto" w:sz="4" w:space="0"/>
            </w:tcBorders>
            <w:noWrap w:val="0"/>
            <w:vAlign w:val="center"/>
          </w:tcPr>
          <w:p w14:paraId="6776AF27">
            <w:pPr>
              <w:bidi w:val="0"/>
              <w:jc w:val="center"/>
              <w:rPr>
                <w:rFonts w:hint="eastAsia" w:ascii="宋体" w:hAnsi="宋体" w:eastAsia="宋体" w:cs="宋体"/>
                <w:color w:val="auto"/>
                <w:kern w:val="2"/>
                <w:sz w:val="21"/>
                <w:szCs w:val="24"/>
                <w:lang w:val="en-US" w:eastAsia="zh-CN" w:bidi="ar-SA"/>
              </w:rPr>
            </w:pPr>
            <w:r>
              <w:rPr>
                <w:rFonts w:hint="eastAsia" w:ascii="宋体" w:hAnsi="宋体" w:cs="宋体"/>
                <w:color w:val="auto"/>
                <w:lang w:val="en-US" w:eastAsia="zh-CN"/>
              </w:rPr>
              <w:t>0.8</w:t>
            </w:r>
            <w:r>
              <w:rPr>
                <w:rFonts w:hint="eastAsia" w:ascii="宋体" w:hAnsi="宋体" w:eastAsia="宋体" w:cs="宋体"/>
                <w:color w:val="auto"/>
                <w:lang w:val="en-US" w:eastAsia="zh-CN"/>
              </w:rPr>
              <w:t>-1</w:t>
            </w:r>
            <w:r>
              <w:rPr>
                <w:rFonts w:hint="eastAsia" w:ascii="宋体" w:hAnsi="宋体" w:eastAsia="宋体" w:cs="宋体"/>
                <w:color w:val="auto"/>
              </w:rPr>
              <w:t>分</w:t>
            </w:r>
          </w:p>
        </w:tc>
      </w:tr>
      <w:tr w14:paraId="5E8EF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807" w:hRule="atLeast"/>
        </w:trPr>
        <w:tc>
          <w:tcPr>
            <w:tcW w:w="989" w:type="dxa"/>
            <w:vMerge w:val="continue"/>
            <w:tcBorders>
              <w:bottom w:val="single" w:color="auto" w:sz="4" w:space="0"/>
              <w:right w:val="single" w:color="auto" w:sz="4" w:space="0"/>
            </w:tcBorders>
            <w:noWrap w:val="0"/>
            <w:vAlign w:val="center"/>
          </w:tcPr>
          <w:p w14:paraId="0E6EAC4E">
            <w:pPr>
              <w:bidi w:val="0"/>
              <w:rPr>
                <w:rFonts w:hint="eastAsia"/>
                <w:color w:val="000000" w:themeColor="text1"/>
                <w:highlight w:val="none"/>
                <w14:textFill>
                  <w14:solidFill>
                    <w14:schemeClr w14:val="tx1"/>
                  </w14:solidFill>
                </w14:textFill>
              </w:rPr>
            </w:pPr>
          </w:p>
        </w:tc>
        <w:tc>
          <w:tcPr>
            <w:tcW w:w="1256" w:type="dxa"/>
            <w:tcBorders>
              <w:top w:val="single" w:color="auto" w:sz="4" w:space="0"/>
              <w:left w:val="single" w:color="auto" w:sz="4" w:space="0"/>
              <w:bottom w:val="single" w:color="auto" w:sz="4" w:space="0"/>
              <w:right w:val="single" w:color="auto" w:sz="4" w:space="0"/>
            </w:tcBorders>
            <w:noWrap w:val="0"/>
            <w:vAlign w:val="center"/>
          </w:tcPr>
          <w:p w14:paraId="426B0987">
            <w:pPr>
              <w:jc w:val="center"/>
              <w:rPr>
                <w:rFonts w:hint="eastAsia"/>
                <w:color w:val="auto"/>
                <w:highlight w:val="none"/>
                <w:lang w:eastAsia="zh-CN"/>
              </w:rPr>
            </w:pPr>
            <w:r>
              <w:rPr>
                <w:rFonts w:hint="eastAsia"/>
                <w:color w:val="auto"/>
                <w:highlight w:val="none"/>
                <w:lang w:eastAsia="zh-CN"/>
              </w:rPr>
              <w:t>采购方案</w:t>
            </w:r>
          </w:p>
          <w:p w14:paraId="6C7B0A46">
            <w:pPr>
              <w:jc w:val="center"/>
              <w:rPr>
                <w:rFonts w:hint="default"/>
                <w:color w:val="auto"/>
                <w:lang w:val="en-US" w:eastAsia="zh-CN"/>
              </w:rPr>
            </w:pPr>
            <w:r>
              <w:rPr>
                <w:rFonts w:hint="eastAsia"/>
                <w:color w:val="auto"/>
                <w:highlight w:val="none"/>
                <w:lang w:eastAsia="zh-CN"/>
              </w:rPr>
              <w:t>（</w:t>
            </w:r>
            <w:r>
              <w:rPr>
                <w:rFonts w:hint="eastAsia"/>
                <w:color w:val="auto"/>
                <w:highlight w:val="none"/>
                <w:lang w:val="en-US" w:eastAsia="zh-CN"/>
              </w:rPr>
              <w:t>4分</w:t>
            </w:r>
            <w:r>
              <w:rPr>
                <w:rFonts w:hint="eastAsia"/>
                <w:color w:val="auto"/>
                <w:highlight w:val="none"/>
                <w:lang w:eastAsia="zh-CN"/>
              </w:rPr>
              <w:t>）</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71236DB9">
            <w:pPr>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货物材料采购的总体安排与资源配置以及设备采购进度、质量控制措施进行评分。</w:t>
            </w:r>
          </w:p>
        </w:tc>
        <w:tc>
          <w:tcPr>
            <w:tcW w:w="1151" w:type="dxa"/>
            <w:tcBorders>
              <w:top w:val="single" w:color="auto" w:sz="4" w:space="0"/>
              <w:left w:val="single" w:color="auto" w:sz="4" w:space="0"/>
              <w:bottom w:val="single" w:color="auto" w:sz="4" w:space="0"/>
            </w:tcBorders>
            <w:noWrap w:val="0"/>
            <w:vAlign w:val="center"/>
          </w:tcPr>
          <w:p w14:paraId="554D7183">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2.8</w:t>
            </w:r>
            <w:r>
              <w:rPr>
                <w:rFonts w:hint="eastAsia" w:ascii="宋体" w:hAnsi="宋体" w:eastAsia="宋体" w:cs="宋体"/>
                <w:color w:val="auto"/>
                <w:highlight w:val="none"/>
                <w:lang w:val="en-US" w:eastAsia="zh-CN"/>
              </w:rPr>
              <w:t>-4分</w:t>
            </w:r>
          </w:p>
        </w:tc>
      </w:tr>
      <w:tr w14:paraId="3CA9B0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807" w:hRule="atLeast"/>
        </w:trPr>
        <w:tc>
          <w:tcPr>
            <w:tcW w:w="989" w:type="dxa"/>
            <w:tcBorders>
              <w:top w:val="single" w:color="auto" w:sz="4" w:space="0"/>
              <w:bottom w:val="single" w:color="auto" w:sz="4" w:space="0"/>
              <w:right w:val="single" w:color="auto" w:sz="4" w:space="0"/>
            </w:tcBorders>
            <w:noWrap w:val="0"/>
            <w:vAlign w:val="center"/>
          </w:tcPr>
          <w:p w14:paraId="343696A1">
            <w:pPr>
              <w:bidi w:val="0"/>
              <w:rPr>
                <w:rFonts w:hint="eastAsia"/>
                <w:color w:val="000000" w:themeColor="text1"/>
                <w:highlight w:val="none"/>
                <w14:textFill>
                  <w14:solidFill>
                    <w14:schemeClr w14:val="tx1"/>
                  </w14:solidFill>
                </w14:textFill>
              </w:rPr>
            </w:pPr>
          </w:p>
        </w:tc>
        <w:tc>
          <w:tcPr>
            <w:tcW w:w="1256" w:type="dxa"/>
            <w:tcBorders>
              <w:top w:val="single" w:color="auto" w:sz="4" w:space="0"/>
              <w:left w:val="single" w:color="auto" w:sz="4" w:space="0"/>
              <w:bottom w:val="single" w:color="auto" w:sz="4" w:space="0"/>
              <w:right w:val="single" w:color="auto" w:sz="4" w:space="0"/>
            </w:tcBorders>
            <w:noWrap w:val="0"/>
            <w:vAlign w:val="center"/>
          </w:tcPr>
          <w:p w14:paraId="57D960E9">
            <w:pPr>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t>服务承诺与售后服务</w:t>
            </w:r>
          </w:p>
          <w:p w14:paraId="7D94A511">
            <w:pPr>
              <w:jc w:val="center"/>
              <w:rPr>
                <w:rFonts w:hint="eastAsia" w:ascii="Times New Roman" w:hAnsi="Times New Roman" w:eastAsia="宋体" w:cs="Times New Roman"/>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eastAsia="zh-CN"/>
                <w14:textFill>
                  <w14:solidFill>
                    <w14:schemeClr w14:val="tx1"/>
                  </w14:solidFill>
                </w14:textFill>
              </w:rPr>
              <w:t>3</w:t>
            </w:r>
            <w:r>
              <w:rPr>
                <w:rFonts w:hint="eastAsia" w:ascii="宋体" w:hAnsi="宋体" w:eastAsia="宋体"/>
                <w:color w:val="000000" w:themeColor="text1"/>
                <w:highlight w:val="none"/>
                <w:lang w:eastAsia="zh-CN"/>
                <w14:textFill>
                  <w14:solidFill>
                    <w14:schemeClr w14:val="tx1"/>
                  </w14:solidFill>
                </w14:textFill>
              </w:rPr>
              <w:t>分）</w:t>
            </w:r>
          </w:p>
        </w:tc>
        <w:tc>
          <w:tcPr>
            <w:tcW w:w="6542" w:type="dxa"/>
            <w:tcBorders>
              <w:top w:val="single" w:color="auto" w:sz="4" w:space="0"/>
              <w:left w:val="single" w:color="auto" w:sz="4" w:space="0"/>
              <w:bottom w:val="single" w:color="auto" w:sz="4" w:space="0"/>
              <w:right w:val="single" w:color="auto" w:sz="4" w:space="0"/>
            </w:tcBorders>
            <w:noWrap w:val="0"/>
            <w:vAlign w:val="center"/>
          </w:tcPr>
          <w:p w14:paraId="47A85753">
            <w:pPr>
              <w:jc w:val="both"/>
              <w:rPr>
                <w:rFonts w:hint="eastAsia" w:ascii="宋体" w:hAnsi="宋体" w:eastAsia="宋体" w:cs="宋体"/>
                <w:color w:val="auto"/>
                <w:kern w:val="2"/>
                <w:sz w:val="21"/>
                <w:szCs w:val="24"/>
                <w:highlight w:val="none"/>
                <w:lang w:val="en-US" w:eastAsia="zh-CN" w:bidi="ar-SA"/>
              </w:rPr>
            </w:pPr>
            <w:r>
              <w:rPr>
                <w:rFonts w:hint="eastAsia"/>
                <w:color w:val="auto"/>
                <w:lang w:val="en-US" w:eastAsia="zh-CN"/>
              </w:rPr>
              <w:t>稳定运行服务生产人员配备、常规设备维护方案、运行管理及设备维护方案，售后服务承诺的范围、完善程度等。</w:t>
            </w:r>
          </w:p>
        </w:tc>
        <w:tc>
          <w:tcPr>
            <w:tcW w:w="1151" w:type="dxa"/>
            <w:tcBorders>
              <w:top w:val="single" w:color="auto" w:sz="4" w:space="0"/>
              <w:left w:val="single" w:color="auto" w:sz="4" w:space="0"/>
              <w:bottom w:val="single" w:color="auto" w:sz="4" w:space="0"/>
            </w:tcBorders>
            <w:noWrap w:val="0"/>
            <w:vAlign w:val="center"/>
          </w:tcPr>
          <w:p w14:paraId="403972A8">
            <w:pPr>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val="en-US" w:eastAsia="zh-CN"/>
              </w:rPr>
              <w:t>2.4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w:t>
            </w:r>
          </w:p>
        </w:tc>
      </w:tr>
      <w:tr w14:paraId="45310D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344" w:hRule="atLeast"/>
        </w:trPr>
        <w:tc>
          <w:tcPr>
            <w:tcW w:w="9938" w:type="dxa"/>
            <w:gridSpan w:val="4"/>
            <w:tcBorders>
              <w:top w:val="single" w:color="auto" w:sz="4" w:space="0"/>
              <w:bottom w:val="single" w:color="auto" w:sz="4" w:space="0"/>
            </w:tcBorders>
            <w:noWrap w:val="0"/>
            <w:vAlign w:val="center"/>
          </w:tcPr>
          <w:p w14:paraId="3DFC4942">
            <w:pPr>
              <w:bidi w:val="0"/>
              <w:jc w:val="both"/>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注：1.技术标评审通过的但技术标缺项，该项得0分。</w:t>
            </w:r>
          </w:p>
        </w:tc>
      </w:tr>
    </w:tbl>
    <w:p w14:paraId="0432952A">
      <w:pPr>
        <w:keepNext w:val="0"/>
        <w:keepLines w:val="0"/>
        <w:pageBreakBefore w:val="0"/>
        <w:widowControl w:val="0"/>
        <w:numPr>
          <w:ilvl w:val="0"/>
          <w:numId w:val="0"/>
        </w:numPr>
        <w:kinsoku/>
        <w:wordWrap/>
        <w:overflowPunct/>
        <w:topLinePunct w:val="0"/>
        <w:autoSpaceDE/>
        <w:autoSpaceDN/>
        <w:bidi w:val="0"/>
        <w:adjustRightInd w:val="0"/>
        <w:snapToGrid w:val="0"/>
        <w:spacing w:before="81" w:line="400" w:lineRule="exact"/>
        <w:ind w:leftChars="200"/>
        <w:jc w:val="both"/>
        <w:textAlignment w:val="auto"/>
        <w:outlineLvl w:val="9"/>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pPr>
      <w:r>
        <w:rPr>
          <w:rFonts w:hint="eastAsia" w:ascii="宋体" w:hAnsi="宋体" w:cs="宋体"/>
          <w:b/>
          <w:bCs/>
          <w:i w:val="0"/>
          <w:iCs w:val="0"/>
          <w:color w:val="000000" w:themeColor="text1"/>
          <w:spacing w:val="0"/>
          <w:sz w:val="21"/>
          <w:szCs w:val="21"/>
          <w:highlight w:val="none"/>
          <w:lang w:eastAsia="zh-CN"/>
          <w14:textFill>
            <w14:solidFill>
              <w14:schemeClr w14:val="tx1"/>
            </w14:solidFill>
          </w14:textFill>
        </w:rPr>
        <w:t>（</w:t>
      </w:r>
      <w:r>
        <w:rPr>
          <w:rFonts w:hint="eastAsia" w:ascii="宋体" w:hAnsi="宋体" w:cs="宋体"/>
          <w:b/>
          <w:bCs/>
          <w:i w:val="0"/>
          <w:iCs w:val="0"/>
          <w:color w:val="000000" w:themeColor="text1"/>
          <w:spacing w:val="0"/>
          <w:sz w:val="21"/>
          <w:szCs w:val="21"/>
          <w:highlight w:val="none"/>
          <w:lang w:val="en-US" w:eastAsia="zh-CN"/>
          <w14:textFill>
            <w14:solidFill>
              <w14:schemeClr w14:val="tx1"/>
            </w14:solidFill>
          </w14:textFill>
        </w:rPr>
        <w:t>三</w:t>
      </w:r>
      <w:r>
        <w:rPr>
          <w:rFonts w:hint="eastAsia" w:ascii="宋体" w:hAnsi="宋体" w:cs="宋体"/>
          <w:b/>
          <w:bCs/>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资信标评审（</w:t>
      </w:r>
      <w:r>
        <w:rPr>
          <w:rFonts w:hint="eastAsia" w:ascii="宋体" w:hAnsi="宋体" w:cs="宋体"/>
          <w:b/>
          <w:bCs/>
          <w:i w:val="0"/>
          <w:iCs w:val="0"/>
          <w:color w:val="000000" w:themeColor="text1"/>
          <w:spacing w:val="0"/>
          <w:sz w:val="21"/>
          <w:szCs w:val="21"/>
          <w:highlight w:val="none"/>
          <w:lang w:val="en-US" w:eastAsia="zh-CN"/>
          <w14:textFill>
            <w14:solidFill>
              <w14:schemeClr w14:val="tx1"/>
            </w14:solidFill>
          </w14:textFill>
        </w:rPr>
        <w:t>6</w:t>
      </w: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分）</w:t>
      </w:r>
    </w:p>
    <w:p w14:paraId="0C6549EC">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Chars="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评标委员会对通过初步评审、技术标评审的投标文件进行资信标评审。</w:t>
      </w:r>
    </w:p>
    <w:p w14:paraId="52D77535">
      <w:pPr>
        <w:keepNext w:val="0"/>
        <w:keepLines w:val="0"/>
        <w:pageBreakBefore w:val="0"/>
        <w:widowControl w:val="0"/>
        <w:kinsoku/>
        <w:wordWrap/>
        <w:overflowPunct/>
        <w:topLinePunct w:val="0"/>
        <w:autoSpaceDE/>
        <w:autoSpaceDN/>
        <w:bidi w:val="0"/>
        <w:adjustRightInd w:val="0"/>
        <w:snapToGrid w:val="0"/>
        <w:spacing w:before="82" w:line="400" w:lineRule="exact"/>
        <w:ind w:left="3821"/>
        <w:jc w:val="both"/>
        <w:textAlignment w:val="auto"/>
        <w:outlineLvl w:val="9"/>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资信评审因素表</w:t>
      </w:r>
    </w:p>
    <w:tbl>
      <w:tblPr>
        <w:tblStyle w:val="24"/>
        <w:tblW w:w="99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9" w:type="dxa"/>
          <w:bottom w:w="0" w:type="dxa"/>
          <w:right w:w="79" w:type="dxa"/>
        </w:tblCellMar>
      </w:tblPr>
      <w:tblGrid>
        <w:gridCol w:w="1200"/>
        <w:gridCol w:w="1692"/>
        <w:gridCol w:w="7080"/>
      </w:tblGrid>
      <w:tr w14:paraId="3F56BC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429" w:hRule="atLeast"/>
        </w:trPr>
        <w:tc>
          <w:tcPr>
            <w:tcW w:w="1200" w:type="dxa"/>
            <w:tcBorders>
              <w:bottom w:val="single" w:color="auto" w:sz="4" w:space="0"/>
              <w:right w:val="single" w:color="auto" w:sz="4" w:space="0"/>
            </w:tcBorders>
            <w:noWrap w:val="0"/>
            <w:vAlign w:val="center"/>
          </w:tcPr>
          <w:p w14:paraId="5928F9D8">
            <w:pPr>
              <w:adjustRightInd w:val="0"/>
              <w:snapToGrid w:val="0"/>
              <w:jc w:val="center"/>
              <w:rPr>
                <w:rFonts w:hint="eastAsia" w:ascii="宋体" w:hAnsi="宋体" w:eastAsia="宋体" w:cs="宋体"/>
                <w:b/>
                <w:color w:val="000000" w:themeColor="text1"/>
                <w:spacing w:val="0"/>
                <w:w w:val="100"/>
                <w:sz w:val="21"/>
                <w:szCs w:val="21"/>
                <w:highlight w:val="none"/>
                <w14:textFill>
                  <w14:solidFill>
                    <w14:schemeClr w14:val="tx1"/>
                  </w14:solidFill>
                </w14:textFill>
              </w:rPr>
            </w:pPr>
            <w:r>
              <w:rPr>
                <w:rFonts w:hint="eastAsia" w:ascii="宋体" w:hAnsi="宋体" w:eastAsia="宋体" w:cs="宋体"/>
                <w:b/>
                <w:color w:val="000000" w:themeColor="text1"/>
                <w:spacing w:val="0"/>
                <w:w w:val="100"/>
                <w:sz w:val="21"/>
                <w:szCs w:val="21"/>
                <w:highlight w:val="none"/>
                <w14:textFill>
                  <w14:solidFill>
                    <w14:schemeClr w14:val="tx1"/>
                  </w14:solidFill>
                </w14:textFill>
              </w:rPr>
              <w:t>条款</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DF8356E">
            <w:pPr>
              <w:adjustRightInd w:val="0"/>
              <w:snapToGrid w:val="0"/>
              <w:jc w:val="center"/>
              <w:rPr>
                <w:rFonts w:hint="eastAsia" w:ascii="宋体" w:hAnsi="宋体" w:eastAsia="宋体" w:cs="宋体"/>
                <w:color w:val="000000" w:themeColor="text1"/>
                <w:spacing w:val="0"/>
                <w:w w:val="100"/>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0"/>
                <w:w w:val="100"/>
                <w:sz w:val="21"/>
                <w:szCs w:val="21"/>
                <w:highlight w:val="none"/>
                <w:lang w:val="en-US" w:eastAsia="zh-CN"/>
                <w14:textFill>
                  <w14:solidFill>
                    <w14:schemeClr w14:val="tx1"/>
                  </w14:solidFill>
                </w14:textFill>
              </w:rPr>
              <w:t>评审因素</w:t>
            </w:r>
          </w:p>
        </w:tc>
        <w:tc>
          <w:tcPr>
            <w:tcW w:w="7080" w:type="dxa"/>
            <w:tcBorders>
              <w:top w:val="single" w:color="auto" w:sz="4" w:space="0"/>
              <w:left w:val="single" w:color="auto" w:sz="4" w:space="0"/>
              <w:bottom w:val="single" w:color="auto" w:sz="4" w:space="0"/>
            </w:tcBorders>
            <w:noWrap w:val="0"/>
            <w:vAlign w:val="center"/>
          </w:tcPr>
          <w:p w14:paraId="1E99C9CF">
            <w:pPr>
              <w:adjustRightInd w:val="0"/>
              <w:snapToGrid w:val="0"/>
              <w:jc w:val="center"/>
              <w:rPr>
                <w:rFonts w:hint="eastAsia" w:ascii="宋体" w:hAnsi="宋体" w:eastAsia="宋体" w:cs="宋体"/>
                <w:color w:val="000000" w:themeColor="text1"/>
                <w:spacing w:val="0"/>
                <w:w w:val="100"/>
                <w:sz w:val="21"/>
                <w:szCs w:val="21"/>
                <w:highlight w:val="none"/>
                <w14:textFill>
                  <w14:solidFill>
                    <w14:schemeClr w14:val="tx1"/>
                  </w14:solidFill>
                </w14:textFill>
              </w:rPr>
            </w:pPr>
            <w:r>
              <w:rPr>
                <w:rFonts w:hint="eastAsia" w:ascii="宋体" w:hAnsi="宋体" w:eastAsia="宋体" w:cs="宋体"/>
                <w:color w:val="000000" w:themeColor="text1"/>
                <w:spacing w:val="0"/>
                <w:w w:val="100"/>
                <w:sz w:val="21"/>
                <w:szCs w:val="21"/>
                <w:highlight w:val="none"/>
                <w14:textFill>
                  <w14:solidFill>
                    <w14:schemeClr w14:val="tx1"/>
                  </w14:solidFill>
                </w14:textFill>
              </w:rPr>
              <w:t>内容</w:t>
            </w:r>
          </w:p>
        </w:tc>
      </w:tr>
      <w:tr w14:paraId="7E9D1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9" w:type="dxa"/>
            <w:bottom w:w="0" w:type="dxa"/>
            <w:right w:w="79" w:type="dxa"/>
          </w:tblCellMar>
        </w:tblPrEx>
        <w:trPr>
          <w:trHeight w:val="2412" w:hRule="atLeast"/>
        </w:trPr>
        <w:tc>
          <w:tcPr>
            <w:tcW w:w="1200" w:type="dxa"/>
            <w:tcBorders>
              <w:right w:val="single" w:color="auto" w:sz="4" w:space="0"/>
            </w:tcBorders>
            <w:noWrap w:val="0"/>
            <w:vAlign w:val="center"/>
          </w:tcPr>
          <w:p w14:paraId="1545DD07">
            <w:pPr>
              <w:widowControl/>
              <w:jc w:val="center"/>
              <w:rPr>
                <w:rFonts w:hint="eastAsia" w:ascii="宋体" w:hAnsi="宋体" w:eastAsia="宋体" w:cs="宋体"/>
                <w:bCs/>
                <w:color w:val="000000" w:themeColor="text1"/>
                <w:spacing w:val="0"/>
                <w:w w:val="100"/>
                <w:sz w:val="21"/>
                <w:szCs w:val="21"/>
                <w:highlight w:val="none"/>
                <w:lang w:eastAsia="zh-CN"/>
                <w14:textFill>
                  <w14:solidFill>
                    <w14:schemeClr w14:val="tx1"/>
                  </w14:solidFill>
                </w14:textFill>
              </w:rPr>
            </w:pPr>
            <w:r>
              <w:rPr>
                <w:rFonts w:hint="eastAsia" w:ascii="宋体" w:hAnsi="宋体" w:eastAsia="宋体" w:cs="宋体"/>
                <w:bCs/>
                <w:color w:val="000000" w:themeColor="text1"/>
                <w:spacing w:val="0"/>
                <w:w w:val="100"/>
                <w:sz w:val="21"/>
                <w:szCs w:val="21"/>
                <w:highlight w:val="none"/>
                <w:lang w:eastAsia="zh-CN"/>
                <w14:textFill>
                  <w14:solidFill>
                    <w14:schemeClr w14:val="tx1"/>
                  </w14:solidFill>
                </w14:textFill>
              </w:rPr>
              <w:t>资信分</w:t>
            </w:r>
          </w:p>
          <w:p w14:paraId="1161A1A0">
            <w:pPr>
              <w:widowControl/>
              <w:jc w:val="center"/>
              <w:rPr>
                <w:rFonts w:hint="eastAsia" w:ascii="宋体" w:hAnsi="宋体" w:eastAsia="宋体" w:cs="宋体"/>
                <w:bCs/>
                <w:color w:val="000000" w:themeColor="text1"/>
                <w:spacing w:val="0"/>
                <w:w w:val="100"/>
                <w:sz w:val="21"/>
                <w:szCs w:val="21"/>
                <w:highlight w:val="none"/>
                <w:lang w:eastAsia="zh-CN"/>
                <w14:textFill>
                  <w14:solidFill>
                    <w14:schemeClr w14:val="tx1"/>
                  </w14:solidFill>
                </w14:textFill>
              </w:rPr>
            </w:pPr>
            <w:r>
              <w:rPr>
                <w:rFonts w:hint="eastAsia" w:ascii="宋体" w:hAnsi="宋体" w:eastAsia="宋体" w:cs="宋体"/>
                <w:bCs/>
                <w:color w:val="000000" w:themeColor="text1"/>
                <w:spacing w:val="0"/>
                <w:w w:val="100"/>
                <w:sz w:val="21"/>
                <w:szCs w:val="21"/>
                <w:highlight w:val="none"/>
                <w:lang w:eastAsia="zh-CN"/>
                <w14:textFill>
                  <w14:solidFill>
                    <w14:schemeClr w14:val="tx1"/>
                  </w14:solidFill>
                </w14:textFill>
              </w:rPr>
              <w:t>（</w:t>
            </w:r>
            <w:r>
              <w:rPr>
                <w:rFonts w:hint="eastAsia" w:ascii="宋体" w:hAnsi="宋体" w:eastAsia="宋体" w:cs="宋体"/>
                <w:bCs/>
                <w:color w:val="000000" w:themeColor="text1"/>
                <w:spacing w:val="0"/>
                <w:w w:val="100"/>
                <w:sz w:val="21"/>
                <w:szCs w:val="21"/>
                <w:highlight w:val="none"/>
                <w:lang w:val="en-US" w:eastAsia="zh-CN"/>
                <w14:textFill>
                  <w14:solidFill>
                    <w14:schemeClr w14:val="tx1"/>
                  </w14:solidFill>
                </w14:textFill>
              </w:rPr>
              <w:t>6分</w:t>
            </w:r>
            <w:r>
              <w:rPr>
                <w:rFonts w:hint="eastAsia" w:ascii="宋体" w:hAnsi="宋体" w:eastAsia="宋体" w:cs="宋体"/>
                <w:bCs/>
                <w:color w:val="000000" w:themeColor="text1"/>
                <w:spacing w:val="0"/>
                <w:w w:val="100"/>
                <w:sz w:val="21"/>
                <w:szCs w:val="21"/>
                <w:highlight w:val="none"/>
                <w:lang w:eastAsia="zh-CN"/>
                <w14:textFill>
                  <w14:solidFill>
                    <w14:schemeClr w14:val="tx1"/>
                  </w14:solidFill>
                </w14:textFill>
              </w:rPr>
              <w:t>）</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F44AD3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p w14:paraId="50761AB8">
            <w:pPr>
              <w:pStyle w:val="5"/>
              <w:spacing w:line="240" w:lineRule="auto"/>
              <w:jc w:val="center"/>
              <w:rPr>
                <w:rFonts w:hint="eastAsia" w:ascii="宋体" w:hAnsi="宋体" w:eastAsia="宋体" w:cs="宋体"/>
                <w:b/>
                <w:bCs/>
                <w:snapToGrid w:val="0"/>
                <w:color w:val="000000" w:themeColor="text1"/>
                <w:spacing w:val="0"/>
                <w:w w:val="100"/>
                <w:kern w:val="0"/>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tc>
        <w:tc>
          <w:tcPr>
            <w:tcW w:w="7080" w:type="dxa"/>
            <w:tcBorders>
              <w:top w:val="single" w:color="auto" w:sz="4" w:space="0"/>
              <w:left w:val="single" w:color="auto" w:sz="4" w:space="0"/>
              <w:bottom w:val="single" w:color="auto" w:sz="4" w:space="0"/>
            </w:tcBorders>
            <w:noWrap w:val="0"/>
            <w:vAlign w:val="center"/>
          </w:tcPr>
          <w:p w14:paraId="46FD793A">
            <w:pPr>
              <w:pStyle w:val="22"/>
              <w:keepNext w:val="0"/>
              <w:keepLines w:val="0"/>
              <w:pageBreakBefore w:val="0"/>
              <w:widowControl/>
              <w:numPr>
                <w:ilvl w:val="0"/>
                <w:numId w:val="19"/>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auto"/>
                <w:sz w:val="21"/>
                <w:szCs w:val="21"/>
                <w:highlight w:val="none"/>
                <w:shd w:val="clear" w:fill="FFFFFF"/>
              </w:rPr>
            </w:pPr>
            <w:r>
              <w:rPr>
                <w:rFonts w:hint="eastAsia" w:ascii="宋体" w:hAnsi="宋体" w:eastAsia="宋体" w:cs="宋体"/>
                <w:b w:val="0"/>
                <w:bCs w:val="0"/>
                <w:color w:val="auto"/>
                <w:sz w:val="21"/>
                <w:szCs w:val="21"/>
                <w:highlight w:val="none"/>
                <w:shd w:val="clear" w:fill="FFFFFF"/>
              </w:rPr>
              <w:t>投标人自201</w:t>
            </w:r>
            <w:r>
              <w:rPr>
                <w:rFonts w:hint="eastAsia" w:ascii="宋体" w:hAnsi="宋体" w:eastAsia="宋体" w:cs="宋体"/>
                <w:b w:val="0"/>
                <w:bCs w:val="0"/>
                <w:color w:val="auto"/>
                <w:sz w:val="21"/>
                <w:szCs w:val="21"/>
                <w:highlight w:val="none"/>
                <w:shd w:val="clear" w:fill="FFFFFF"/>
                <w:lang w:val="en-US" w:eastAsia="zh-CN"/>
              </w:rPr>
              <w:t>9</w:t>
            </w:r>
            <w:r>
              <w:rPr>
                <w:rFonts w:hint="eastAsia" w:ascii="宋体" w:hAnsi="宋体" w:eastAsia="宋体" w:cs="宋体"/>
                <w:b w:val="0"/>
                <w:bCs w:val="0"/>
                <w:color w:val="auto"/>
                <w:sz w:val="21"/>
                <w:szCs w:val="21"/>
                <w:highlight w:val="none"/>
                <w:shd w:val="clear" w:fill="FFFFFF"/>
              </w:rPr>
              <w:t>年1月1</w:t>
            </w:r>
            <w:r>
              <w:rPr>
                <w:rFonts w:hint="eastAsia" w:ascii="宋体" w:hAnsi="宋体" w:eastAsia="宋体" w:cs="宋体"/>
                <w:color w:val="auto"/>
                <w:sz w:val="21"/>
                <w:szCs w:val="21"/>
                <w:highlight w:val="none"/>
                <w:shd w:val="clear" w:fill="FFFFFF"/>
              </w:rPr>
              <w:t>日以来（以合同时间为准），承担过</w:t>
            </w:r>
            <w:r>
              <w:rPr>
                <w:rFonts w:hint="eastAsia" w:ascii="宋体" w:hAnsi="宋体" w:cs="宋体"/>
                <w:color w:val="auto"/>
                <w:sz w:val="21"/>
                <w:szCs w:val="21"/>
                <w:highlight w:val="none"/>
                <w:shd w:val="clear" w:fill="FFFFFF"/>
                <w:lang w:eastAsia="zh-CN"/>
              </w:rPr>
              <w:t>施工部分</w:t>
            </w:r>
            <w:r>
              <w:rPr>
                <w:rFonts w:hint="eastAsia" w:ascii="宋体" w:hAnsi="宋体" w:eastAsia="宋体" w:cs="宋体"/>
                <w:color w:val="auto"/>
                <w:sz w:val="21"/>
                <w:szCs w:val="21"/>
                <w:highlight w:val="none"/>
                <w:shd w:val="clear" w:fill="FFFFFF"/>
              </w:rPr>
              <w:t>单个合同金额</w:t>
            </w:r>
            <w:r>
              <w:rPr>
                <w:rFonts w:hint="eastAsia" w:ascii="宋体" w:hAnsi="宋体" w:cs="宋体"/>
                <w:color w:val="auto"/>
                <w:sz w:val="21"/>
                <w:szCs w:val="21"/>
                <w:highlight w:val="none"/>
                <w:shd w:val="clear" w:fill="FFFFFF"/>
                <w:lang w:val="en-US" w:eastAsia="zh-CN"/>
              </w:rPr>
              <w:t xml:space="preserve"> 800</w:t>
            </w:r>
            <w:r>
              <w:rPr>
                <w:rFonts w:hint="eastAsia" w:ascii="宋体" w:hAnsi="宋体" w:eastAsia="宋体" w:cs="宋体"/>
                <w:color w:val="auto"/>
                <w:sz w:val="21"/>
                <w:szCs w:val="21"/>
                <w:highlight w:val="none"/>
                <w:shd w:val="clear" w:fill="FFFFFF"/>
              </w:rPr>
              <w:t>万元及以上且电压等级10千伏及以上电力</w:t>
            </w:r>
            <w:r>
              <w:rPr>
                <w:rFonts w:hint="eastAsia" w:ascii="宋体" w:hAnsi="宋体" w:eastAsia="宋体" w:cs="宋体"/>
                <w:b w:val="0"/>
                <w:bCs w:val="0"/>
                <w:color w:val="auto"/>
                <w:sz w:val="21"/>
                <w:szCs w:val="21"/>
                <w:highlight w:val="none"/>
                <w:shd w:val="clear" w:fill="FFFFFF"/>
              </w:rPr>
              <w:t>工程项目（含工程总承包）的每个得2分，</w:t>
            </w:r>
            <w:r>
              <w:rPr>
                <w:rFonts w:hint="eastAsia" w:ascii="宋体" w:hAnsi="宋体" w:cs="宋体"/>
                <w:b w:val="0"/>
                <w:bCs w:val="0"/>
                <w:color w:val="auto"/>
                <w:sz w:val="21"/>
                <w:szCs w:val="21"/>
                <w:highlight w:val="none"/>
                <w:shd w:val="clear" w:fill="FFFFFF"/>
                <w:lang w:eastAsia="zh-CN"/>
              </w:rPr>
              <w:t>本项最高</w:t>
            </w:r>
            <w:r>
              <w:rPr>
                <w:rFonts w:hint="eastAsia" w:ascii="宋体" w:hAnsi="宋体" w:eastAsia="宋体" w:cs="宋体"/>
                <w:b w:val="0"/>
                <w:bCs w:val="0"/>
                <w:color w:val="auto"/>
                <w:sz w:val="21"/>
                <w:szCs w:val="21"/>
                <w:highlight w:val="none"/>
                <w:shd w:val="clear" w:fill="FFFFFF"/>
              </w:rPr>
              <w:t>得</w:t>
            </w:r>
            <w:r>
              <w:rPr>
                <w:rFonts w:hint="eastAsia" w:ascii="宋体" w:hAnsi="宋体" w:cs="宋体"/>
                <w:b w:val="0"/>
                <w:bCs w:val="0"/>
                <w:color w:val="auto"/>
                <w:sz w:val="21"/>
                <w:szCs w:val="21"/>
                <w:highlight w:val="none"/>
                <w:shd w:val="clear" w:fill="FFFFFF"/>
                <w:lang w:val="en-US" w:eastAsia="zh-CN"/>
              </w:rPr>
              <w:t>4</w:t>
            </w:r>
            <w:r>
              <w:rPr>
                <w:rFonts w:hint="eastAsia" w:ascii="宋体" w:hAnsi="宋体" w:eastAsia="宋体" w:cs="宋体"/>
                <w:b w:val="0"/>
                <w:bCs w:val="0"/>
                <w:color w:val="auto"/>
                <w:sz w:val="21"/>
                <w:szCs w:val="21"/>
                <w:highlight w:val="none"/>
                <w:shd w:val="clear" w:fill="FFFFFF"/>
              </w:rPr>
              <w:t>分。</w:t>
            </w:r>
          </w:p>
          <w:p w14:paraId="052DFDAB">
            <w:pPr>
              <w:pStyle w:val="2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textAlignment w:val="auto"/>
              <w:rPr>
                <w:rFonts w:hint="eastAsia" w:ascii="宋体" w:hAnsi="宋体" w:eastAsia="宋体" w:cs="宋体"/>
                <w:b w:val="0"/>
                <w:bCs w:val="0"/>
                <w:color w:val="auto"/>
                <w:sz w:val="21"/>
                <w:szCs w:val="21"/>
                <w:highlight w:val="none"/>
                <w:shd w:val="clear" w:fill="FFFFFF"/>
              </w:rPr>
            </w:pPr>
            <w:r>
              <w:rPr>
                <w:rFonts w:hint="eastAsia" w:ascii="宋体" w:hAnsi="宋体" w:eastAsia="宋体" w:cs="宋体"/>
                <w:b w:val="0"/>
                <w:bCs w:val="0"/>
                <w:color w:val="auto"/>
                <w:sz w:val="21"/>
                <w:szCs w:val="21"/>
                <w:highlight w:val="none"/>
                <w:shd w:val="clear" w:fill="FFFFFF"/>
              </w:rPr>
              <w:t>2、投标人自201</w:t>
            </w:r>
            <w:r>
              <w:rPr>
                <w:rFonts w:hint="eastAsia" w:ascii="宋体" w:hAnsi="宋体" w:eastAsia="宋体" w:cs="宋体"/>
                <w:b w:val="0"/>
                <w:bCs w:val="0"/>
                <w:color w:val="auto"/>
                <w:sz w:val="21"/>
                <w:szCs w:val="21"/>
                <w:highlight w:val="none"/>
                <w:shd w:val="clear" w:fill="FFFFFF"/>
                <w:lang w:val="en-US" w:eastAsia="zh-CN"/>
              </w:rPr>
              <w:t>9</w:t>
            </w:r>
            <w:r>
              <w:rPr>
                <w:rFonts w:hint="eastAsia" w:ascii="宋体" w:hAnsi="宋体" w:eastAsia="宋体" w:cs="宋体"/>
                <w:b w:val="0"/>
                <w:bCs w:val="0"/>
                <w:color w:val="auto"/>
                <w:sz w:val="21"/>
                <w:szCs w:val="21"/>
                <w:highlight w:val="none"/>
                <w:shd w:val="clear" w:fill="FFFFFF"/>
              </w:rPr>
              <w:t>年1月1日以来（以合同时间为准），设计过单个项目</w:t>
            </w:r>
            <w:r>
              <w:rPr>
                <w:rFonts w:hint="eastAsia" w:ascii="宋体" w:hAnsi="宋体" w:cs="宋体"/>
                <w:b w:val="0"/>
                <w:bCs w:val="0"/>
                <w:color w:val="auto"/>
                <w:sz w:val="21"/>
                <w:szCs w:val="21"/>
                <w:highlight w:val="none"/>
                <w:shd w:val="clear" w:fill="FFFFFF"/>
                <w:lang w:eastAsia="zh-CN"/>
              </w:rPr>
              <w:t>合同设计费</w:t>
            </w:r>
            <w:r>
              <w:rPr>
                <w:rFonts w:hint="eastAsia" w:ascii="宋体" w:hAnsi="宋体" w:cs="宋体"/>
                <w:b w:val="0"/>
                <w:bCs w:val="0"/>
                <w:color w:val="auto"/>
                <w:sz w:val="21"/>
                <w:szCs w:val="21"/>
                <w:highlight w:val="none"/>
                <w:shd w:val="clear" w:fill="FFFFFF"/>
                <w:lang w:val="en-US" w:eastAsia="zh-CN"/>
              </w:rPr>
              <w:t xml:space="preserve"> 25万元</w:t>
            </w:r>
            <w:r>
              <w:rPr>
                <w:rFonts w:hint="eastAsia" w:ascii="宋体" w:hAnsi="宋体" w:eastAsia="宋体" w:cs="宋体"/>
                <w:b w:val="0"/>
                <w:bCs w:val="0"/>
                <w:color w:val="auto"/>
                <w:sz w:val="21"/>
                <w:szCs w:val="21"/>
                <w:highlight w:val="none"/>
                <w:shd w:val="clear" w:fill="FFFFFF"/>
              </w:rPr>
              <w:t>及以上</w:t>
            </w:r>
            <w:r>
              <w:rPr>
                <w:rFonts w:hint="eastAsia" w:ascii="宋体" w:hAnsi="宋体" w:cs="宋体"/>
                <w:b w:val="0"/>
                <w:bCs w:val="0"/>
                <w:color w:val="auto"/>
                <w:sz w:val="21"/>
                <w:szCs w:val="21"/>
                <w:highlight w:val="none"/>
                <w:shd w:val="clear" w:fill="FFFFFF"/>
                <w:lang w:eastAsia="zh-CN"/>
              </w:rPr>
              <w:t>的</w:t>
            </w:r>
            <w:r>
              <w:rPr>
                <w:rFonts w:hint="eastAsia" w:ascii="宋体" w:hAnsi="宋体" w:eastAsia="宋体" w:cs="宋体"/>
                <w:b w:val="0"/>
                <w:bCs w:val="0"/>
                <w:color w:val="auto"/>
                <w:sz w:val="21"/>
                <w:szCs w:val="21"/>
                <w:highlight w:val="none"/>
                <w:shd w:val="clear" w:fill="FFFFFF"/>
              </w:rPr>
              <w:t>小区</w:t>
            </w:r>
            <w:r>
              <w:rPr>
                <w:rFonts w:hint="eastAsia" w:ascii="宋体" w:hAnsi="宋体" w:cs="宋体"/>
                <w:b w:val="0"/>
                <w:bCs w:val="0"/>
                <w:color w:val="auto"/>
                <w:sz w:val="21"/>
                <w:szCs w:val="21"/>
                <w:highlight w:val="none"/>
                <w:shd w:val="clear" w:fill="FFFFFF"/>
                <w:lang w:eastAsia="zh-CN"/>
              </w:rPr>
              <w:t>居住</w:t>
            </w:r>
            <w:r>
              <w:rPr>
                <w:rFonts w:hint="eastAsia" w:ascii="宋体" w:hAnsi="宋体" w:eastAsia="宋体" w:cs="宋体"/>
                <w:b w:val="0"/>
                <w:bCs w:val="0"/>
                <w:color w:val="auto"/>
                <w:sz w:val="21"/>
                <w:szCs w:val="21"/>
                <w:highlight w:val="none"/>
                <w:shd w:val="clear" w:fill="FFFFFF"/>
              </w:rPr>
              <w:t>配</w:t>
            </w:r>
            <w:r>
              <w:rPr>
                <w:rFonts w:hint="eastAsia" w:ascii="宋体" w:hAnsi="宋体" w:cs="宋体"/>
                <w:b w:val="0"/>
                <w:bCs w:val="0"/>
                <w:color w:val="auto"/>
                <w:sz w:val="21"/>
                <w:szCs w:val="21"/>
                <w:highlight w:val="none"/>
                <w:shd w:val="clear" w:fill="FFFFFF"/>
                <w:lang w:eastAsia="zh-CN"/>
              </w:rPr>
              <w:t>电</w:t>
            </w:r>
            <w:r>
              <w:rPr>
                <w:rFonts w:hint="eastAsia" w:ascii="宋体" w:hAnsi="宋体" w:eastAsia="宋体" w:cs="宋体"/>
                <w:b w:val="0"/>
                <w:bCs w:val="0"/>
                <w:color w:val="auto"/>
                <w:sz w:val="21"/>
                <w:szCs w:val="21"/>
                <w:highlight w:val="none"/>
                <w:shd w:val="clear" w:fill="FFFFFF"/>
              </w:rPr>
              <w:t>电力工程</w:t>
            </w:r>
            <w:r>
              <w:rPr>
                <w:rFonts w:hint="eastAsia" w:ascii="宋体" w:hAnsi="宋体" w:eastAsia="宋体" w:cs="宋体"/>
                <w:b/>
                <w:bCs/>
                <w:color w:val="auto"/>
                <w:sz w:val="21"/>
                <w:szCs w:val="21"/>
                <w:highlight w:val="none"/>
                <w:shd w:val="clear" w:fill="FFFFFF"/>
              </w:rPr>
              <w:t>设计</w:t>
            </w:r>
            <w:r>
              <w:rPr>
                <w:rFonts w:hint="eastAsia" w:ascii="宋体" w:hAnsi="宋体" w:cs="宋体"/>
                <w:b/>
                <w:bCs/>
                <w:color w:val="auto"/>
                <w:sz w:val="21"/>
                <w:szCs w:val="21"/>
                <w:highlight w:val="none"/>
                <w:shd w:val="clear" w:fill="FFFFFF"/>
                <w:lang w:eastAsia="zh-CN"/>
              </w:rPr>
              <w:t>项目</w:t>
            </w:r>
            <w:r>
              <w:rPr>
                <w:rFonts w:hint="eastAsia" w:ascii="宋体" w:hAnsi="宋体" w:cs="宋体"/>
                <w:b/>
                <w:bCs/>
                <w:color w:val="auto"/>
                <w:sz w:val="21"/>
                <w:szCs w:val="21"/>
                <w:highlight w:val="none"/>
                <w:shd w:val="clear" w:fill="FFFFFF"/>
                <w:lang w:val="en-US" w:eastAsia="zh-CN"/>
              </w:rPr>
              <w:t>(含工程总承包)</w:t>
            </w:r>
            <w:r>
              <w:rPr>
                <w:rFonts w:hint="eastAsia" w:ascii="宋体" w:hAnsi="宋体" w:eastAsia="宋体" w:cs="宋体"/>
                <w:b w:val="0"/>
                <w:bCs w:val="0"/>
                <w:color w:val="auto"/>
                <w:sz w:val="21"/>
                <w:szCs w:val="21"/>
                <w:highlight w:val="none"/>
                <w:shd w:val="clear" w:fill="FFFFFF"/>
              </w:rPr>
              <w:t>的每个得2分，</w:t>
            </w:r>
            <w:r>
              <w:rPr>
                <w:rFonts w:hint="eastAsia" w:ascii="宋体" w:hAnsi="宋体" w:cs="宋体"/>
                <w:b w:val="0"/>
                <w:bCs w:val="0"/>
                <w:color w:val="auto"/>
                <w:sz w:val="21"/>
                <w:szCs w:val="21"/>
                <w:highlight w:val="none"/>
                <w:shd w:val="clear" w:fill="FFFFFF"/>
                <w:lang w:eastAsia="zh-CN"/>
              </w:rPr>
              <w:t>本项</w:t>
            </w:r>
            <w:r>
              <w:rPr>
                <w:rFonts w:hint="eastAsia" w:ascii="宋体" w:hAnsi="宋体" w:eastAsia="宋体" w:cs="宋体"/>
                <w:b w:val="0"/>
                <w:bCs w:val="0"/>
                <w:color w:val="auto"/>
                <w:sz w:val="21"/>
                <w:szCs w:val="21"/>
                <w:highlight w:val="none"/>
                <w:shd w:val="clear" w:fill="FFFFFF"/>
              </w:rPr>
              <w:t>最高得</w:t>
            </w:r>
            <w:r>
              <w:rPr>
                <w:rFonts w:hint="eastAsia" w:ascii="宋体" w:hAnsi="宋体" w:cs="宋体"/>
                <w:b w:val="0"/>
                <w:bCs w:val="0"/>
                <w:color w:val="auto"/>
                <w:sz w:val="21"/>
                <w:szCs w:val="21"/>
                <w:highlight w:val="none"/>
                <w:shd w:val="clear" w:fill="FFFFFF"/>
                <w:lang w:val="en-US" w:eastAsia="zh-CN"/>
              </w:rPr>
              <w:t>2</w:t>
            </w:r>
            <w:r>
              <w:rPr>
                <w:rFonts w:hint="eastAsia" w:ascii="宋体" w:hAnsi="宋体" w:eastAsia="宋体" w:cs="宋体"/>
                <w:b w:val="0"/>
                <w:bCs w:val="0"/>
                <w:color w:val="auto"/>
                <w:sz w:val="21"/>
                <w:szCs w:val="21"/>
                <w:highlight w:val="none"/>
                <w:shd w:val="clear" w:fill="FFFFFF"/>
              </w:rPr>
              <w:t>分。</w:t>
            </w:r>
          </w:p>
          <w:p w14:paraId="2929CDB8">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sz w:val="21"/>
                <w:szCs w:val="21"/>
                <w:highlight w:val="none"/>
                <w:shd w:val="clear" w:fill="FFFFFF"/>
              </w:rPr>
            </w:pPr>
            <w:r>
              <w:rPr>
                <w:rFonts w:hint="eastAsia" w:ascii="宋体" w:hAnsi="宋体" w:eastAsia="宋体" w:cs="宋体"/>
                <w:b w:val="0"/>
                <w:bCs w:val="0"/>
                <w:color w:val="000000"/>
                <w:sz w:val="21"/>
                <w:szCs w:val="21"/>
                <w:highlight w:val="none"/>
                <w:shd w:val="clear" w:fill="FFFFFF"/>
              </w:rPr>
              <w:t>此项最高得6分。</w:t>
            </w:r>
          </w:p>
          <w:p w14:paraId="265CC4F7">
            <w:pPr>
              <w:pStyle w:val="20"/>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eastAsia="zh-CN"/>
              </w:rPr>
              <w:t>注：投标人提供的</w:t>
            </w:r>
            <w:r>
              <w:rPr>
                <w:rFonts w:hint="eastAsia" w:ascii="宋体" w:hAnsi="宋体" w:eastAsia="宋体" w:cs="宋体"/>
                <w:b/>
                <w:bCs/>
                <w:color w:val="auto"/>
                <w:sz w:val="21"/>
                <w:szCs w:val="21"/>
                <w:highlight w:val="none"/>
                <w:u w:val="none"/>
                <w:lang w:val="en-US" w:eastAsia="zh-CN"/>
              </w:rPr>
              <w:t>施工业绩或</w:t>
            </w:r>
            <w:r>
              <w:rPr>
                <w:rFonts w:hint="eastAsia" w:ascii="宋体" w:hAnsi="宋体" w:eastAsia="宋体" w:cs="宋体"/>
                <w:b/>
                <w:bCs/>
                <w:color w:val="auto"/>
                <w:sz w:val="21"/>
                <w:szCs w:val="21"/>
                <w:highlight w:val="none"/>
                <w:u w:val="none"/>
                <w:lang w:eastAsia="zh-CN"/>
              </w:rPr>
              <w:t>工程总承包</w:t>
            </w:r>
            <w:r>
              <w:rPr>
                <w:rFonts w:hint="eastAsia" w:ascii="宋体" w:hAnsi="宋体" w:eastAsia="宋体" w:cs="宋体"/>
                <w:b/>
                <w:bCs/>
                <w:color w:val="auto"/>
                <w:sz w:val="21"/>
                <w:szCs w:val="21"/>
                <w:highlight w:val="none"/>
                <w:u w:val="none"/>
              </w:rPr>
              <w:t>业绩与设计业绩不能</w:t>
            </w:r>
            <w:r>
              <w:rPr>
                <w:rFonts w:hint="eastAsia" w:ascii="宋体" w:hAnsi="宋体" w:eastAsia="宋体" w:cs="宋体"/>
                <w:b/>
                <w:bCs/>
                <w:color w:val="auto"/>
                <w:sz w:val="21"/>
                <w:szCs w:val="21"/>
                <w:highlight w:val="none"/>
                <w:u w:val="none"/>
                <w:lang w:eastAsia="zh-CN"/>
              </w:rPr>
              <w:t>为</w:t>
            </w:r>
            <w:r>
              <w:rPr>
                <w:rFonts w:hint="eastAsia" w:ascii="宋体" w:hAnsi="宋体" w:eastAsia="宋体" w:cs="宋体"/>
                <w:b/>
                <w:bCs/>
                <w:color w:val="auto"/>
                <w:sz w:val="21"/>
                <w:szCs w:val="21"/>
                <w:highlight w:val="none"/>
                <w:u w:val="none"/>
              </w:rPr>
              <w:t>同一工程</w:t>
            </w:r>
            <w:r>
              <w:rPr>
                <w:rFonts w:hint="eastAsia" w:ascii="宋体" w:hAnsi="宋体" w:eastAsia="宋体" w:cs="宋体"/>
                <w:b/>
                <w:bCs/>
                <w:color w:val="auto"/>
                <w:sz w:val="21"/>
                <w:szCs w:val="21"/>
                <w:highlight w:val="none"/>
                <w:u w:val="none"/>
                <w:lang w:eastAsia="zh-CN"/>
              </w:rPr>
              <w:t>。</w:t>
            </w:r>
          </w:p>
          <w:p w14:paraId="44C0593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证明材料：</w:t>
            </w:r>
            <w:r>
              <w:rPr>
                <w:rFonts w:hint="eastAsia" w:ascii="宋体" w:hAnsi="宋体" w:eastAsia="宋体" w:cs="宋体"/>
                <w:b/>
                <w:bCs/>
                <w:color w:val="auto"/>
                <w:sz w:val="21"/>
                <w:szCs w:val="21"/>
                <w:highlight w:val="none"/>
                <w:u w:val="none"/>
                <w:lang w:val="en-US" w:eastAsia="zh-CN"/>
              </w:rPr>
              <w:t>业绩1</w:t>
            </w:r>
            <w:r>
              <w:rPr>
                <w:rFonts w:hint="eastAsia" w:ascii="宋体" w:hAnsi="宋体" w:eastAsia="宋体" w:cs="宋体"/>
                <w:b/>
                <w:bCs/>
                <w:color w:val="auto"/>
                <w:sz w:val="21"/>
                <w:szCs w:val="21"/>
                <w:highlight w:val="none"/>
                <w:u w:val="none"/>
                <w:lang w:eastAsia="zh-CN"/>
              </w:rPr>
              <w:t>须提供</w:t>
            </w:r>
            <w:r>
              <w:rPr>
                <w:rFonts w:hint="eastAsia" w:ascii="宋体" w:hAnsi="宋体" w:eastAsia="宋体" w:cs="宋体"/>
                <w:b/>
                <w:bCs/>
                <w:sz w:val="21"/>
                <w:szCs w:val="21"/>
                <w:highlight w:val="none"/>
              </w:rPr>
              <w:t>①中标通知书②合同③竣工验收证明材料</w:t>
            </w:r>
            <w:r>
              <w:rPr>
                <w:rFonts w:hint="eastAsia" w:ascii="宋体" w:hAnsi="宋体" w:cs="宋体"/>
                <w:b/>
                <w:bCs/>
                <w:sz w:val="21"/>
                <w:szCs w:val="21"/>
                <w:highlight w:val="none"/>
                <w:lang w:eastAsia="zh-CN"/>
              </w:rPr>
              <w:t>，</w:t>
            </w:r>
            <w:r>
              <w:rPr>
                <w:rFonts w:hint="eastAsia" w:ascii="宋体" w:hAnsi="宋体" w:eastAsia="宋体" w:cs="宋体"/>
                <w:b w:val="0"/>
                <w:bCs w:val="0"/>
                <w:sz w:val="21"/>
                <w:szCs w:val="21"/>
                <w:highlight w:val="none"/>
              </w:rPr>
              <w:t>以上材料缺一不可</w:t>
            </w:r>
            <w:r>
              <w:rPr>
                <w:rFonts w:hint="eastAsia" w:ascii="宋体" w:hAnsi="宋体" w:eastAsia="宋体" w:cs="宋体"/>
                <w:b w:val="0"/>
                <w:bCs w:val="0"/>
                <w:color w:val="auto"/>
                <w:sz w:val="21"/>
                <w:szCs w:val="21"/>
                <w:highlight w:val="none"/>
                <w:u w:val="none"/>
                <w:lang w:eastAsia="zh-CN"/>
              </w:rPr>
              <w:t>。</w:t>
            </w:r>
            <w:r>
              <w:rPr>
                <w:rFonts w:hint="eastAsia" w:ascii="宋体" w:hAnsi="宋体" w:eastAsia="宋体" w:cs="宋体"/>
                <w:b w:val="0"/>
                <w:bCs w:val="0"/>
                <w:sz w:val="21"/>
                <w:szCs w:val="21"/>
                <w:highlight w:val="none"/>
              </w:rPr>
              <w:t>其中①②③须提供原件扫描件。证明材料未按上述提供完整或不符合以下说明要求的不予认可。</w:t>
            </w:r>
            <w:r>
              <w:rPr>
                <w:rFonts w:hint="eastAsia" w:ascii="宋体" w:hAnsi="宋体" w:eastAsia="宋体" w:cs="宋体"/>
                <w:b w:val="0"/>
                <w:bCs w:val="0"/>
                <w:color w:val="auto"/>
                <w:sz w:val="21"/>
                <w:szCs w:val="21"/>
                <w:highlight w:val="none"/>
                <w:u w:val="none"/>
                <w:lang w:eastAsia="zh-CN"/>
              </w:rPr>
              <w:t>如证明材料不能体现项目类型、</w:t>
            </w:r>
            <w:r>
              <w:rPr>
                <w:rFonts w:hint="eastAsia" w:ascii="宋体" w:hAnsi="宋体" w:cs="宋体"/>
                <w:b w:val="0"/>
                <w:bCs w:val="0"/>
                <w:color w:val="auto"/>
                <w:sz w:val="21"/>
                <w:szCs w:val="21"/>
                <w:highlight w:val="none"/>
                <w:u w:val="none"/>
                <w:lang w:eastAsia="zh-CN"/>
              </w:rPr>
              <w:t>施工部分</w:t>
            </w:r>
            <w:r>
              <w:rPr>
                <w:rFonts w:hint="eastAsia" w:ascii="宋体" w:hAnsi="宋体" w:eastAsia="宋体" w:cs="宋体"/>
                <w:b w:val="0"/>
                <w:bCs w:val="0"/>
                <w:color w:val="auto"/>
                <w:sz w:val="21"/>
                <w:szCs w:val="21"/>
                <w:highlight w:val="none"/>
                <w:u w:val="none"/>
                <w:lang w:eastAsia="zh-CN"/>
              </w:rPr>
              <w:t>金额等评分</w:t>
            </w:r>
            <w:r>
              <w:rPr>
                <w:rFonts w:hint="eastAsia" w:ascii="宋体" w:hAnsi="宋体" w:eastAsia="宋体" w:cs="宋体"/>
                <w:b w:val="0"/>
                <w:bCs w:val="0"/>
                <w:sz w:val="21"/>
                <w:szCs w:val="21"/>
                <w:highlight w:val="none"/>
                <w:u w:val="none"/>
                <w:lang w:eastAsia="zh-CN"/>
              </w:rPr>
              <w:t>要素，则须提供</w:t>
            </w:r>
            <w:r>
              <w:rPr>
                <w:rFonts w:hint="eastAsia" w:ascii="宋体" w:hAnsi="宋体" w:eastAsia="宋体" w:cs="宋体"/>
                <w:b w:val="0"/>
                <w:bCs w:val="0"/>
                <w:sz w:val="21"/>
                <w:szCs w:val="21"/>
                <w:highlight w:val="none"/>
                <w:u w:val="none"/>
              </w:rPr>
              <w:t>加盖业主公</w:t>
            </w:r>
            <w:r>
              <w:rPr>
                <w:rFonts w:hint="eastAsia" w:ascii="宋体" w:hAnsi="宋体" w:eastAsia="宋体" w:cs="宋体"/>
                <w:b w:val="0"/>
                <w:bCs w:val="0"/>
                <w:color w:val="auto"/>
                <w:sz w:val="21"/>
                <w:szCs w:val="21"/>
                <w:highlight w:val="none"/>
                <w:u w:val="none"/>
              </w:rPr>
              <w:t>章的证明材料</w:t>
            </w:r>
            <w:r>
              <w:rPr>
                <w:rFonts w:hint="eastAsia" w:ascii="宋体" w:hAnsi="宋体" w:eastAsia="宋体" w:cs="宋体"/>
                <w:b w:val="0"/>
                <w:bCs w:val="0"/>
                <w:color w:val="auto"/>
                <w:sz w:val="21"/>
                <w:szCs w:val="21"/>
                <w:highlight w:val="none"/>
                <w:u w:val="none"/>
                <w:lang w:eastAsia="zh-CN"/>
              </w:rPr>
              <w:t>。如联合体中标的，需提供明确由投标人承担的实施内容的联合体协议书。以上证明材料原件扫描件编入投标文件，未提供完整或不符合要求的不予计分。</w:t>
            </w:r>
          </w:p>
          <w:p w14:paraId="2F975F90">
            <w:pPr>
              <w:pStyle w:val="2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snapToGrid w:val="0"/>
                <w:color w:val="000000" w:themeColor="text1"/>
                <w:kern w:val="0"/>
                <w:sz w:val="21"/>
                <w:szCs w:val="21"/>
                <w:highlight w:val="none"/>
                <w:u w:val="single"/>
                <w:lang w:val="en-US" w:eastAsia="zh-CN" w:bidi="ar-SA"/>
                <w14:textFill>
                  <w14:solidFill>
                    <w14:schemeClr w14:val="tx1"/>
                  </w14:solidFill>
                </w14:textFill>
              </w:rPr>
            </w:pPr>
            <w:r>
              <w:rPr>
                <w:rFonts w:hint="eastAsia" w:ascii="宋体" w:hAnsi="宋体" w:eastAsia="宋体" w:cs="宋体"/>
                <w:b/>
                <w:bCs/>
                <w:color w:val="auto"/>
                <w:sz w:val="21"/>
                <w:szCs w:val="21"/>
                <w:highlight w:val="none"/>
                <w:u w:val="none"/>
                <w:lang w:val="en-US" w:eastAsia="zh-CN"/>
              </w:rPr>
              <w:t>业绩2</w:t>
            </w:r>
            <w:r>
              <w:rPr>
                <w:rFonts w:hint="eastAsia" w:ascii="宋体" w:hAnsi="宋体" w:eastAsia="宋体" w:cs="宋体"/>
                <w:b/>
                <w:bCs/>
                <w:color w:val="auto"/>
                <w:sz w:val="21"/>
                <w:szCs w:val="21"/>
                <w:highlight w:val="none"/>
                <w:u w:val="none"/>
                <w:lang w:eastAsia="zh-CN"/>
              </w:rPr>
              <w:t>须提供</w:t>
            </w:r>
            <w:r>
              <w:rPr>
                <w:rFonts w:hint="eastAsia" w:ascii="宋体" w:hAnsi="宋体" w:eastAsia="宋体" w:cs="宋体"/>
                <w:b/>
                <w:bCs/>
                <w:color w:val="000000"/>
                <w:kern w:val="2"/>
                <w:sz w:val="21"/>
                <w:szCs w:val="21"/>
                <w:highlight w:val="none"/>
                <w:u w:val="none"/>
                <w:lang w:val="en-US" w:eastAsia="zh-CN" w:bidi="ar-SA"/>
              </w:rPr>
              <w:t>中标通知书</w:t>
            </w:r>
            <w:r>
              <w:rPr>
                <w:rFonts w:hint="eastAsia" w:ascii="宋体" w:hAnsi="宋体" w:cs="宋体"/>
                <w:b/>
                <w:bCs/>
                <w:color w:val="000000"/>
                <w:kern w:val="2"/>
                <w:sz w:val="21"/>
                <w:szCs w:val="21"/>
                <w:highlight w:val="none"/>
                <w:u w:val="none"/>
                <w:lang w:val="en-US" w:eastAsia="zh-CN" w:bidi="ar-SA"/>
              </w:rPr>
              <w:t>或合同</w:t>
            </w:r>
            <w:r>
              <w:rPr>
                <w:rFonts w:hint="eastAsia" w:ascii="宋体" w:hAnsi="宋体" w:eastAsia="宋体" w:cs="宋体"/>
                <w:b w:val="0"/>
                <w:bCs w:val="0"/>
                <w:color w:val="000000"/>
                <w:kern w:val="2"/>
                <w:sz w:val="21"/>
                <w:szCs w:val="21"/>
                <w:highlight w:val="none"/>
                <w:u w:val="none"/>
                <w:lang w:val="en-US" w:eastAsia="zh-CN" w:bidi="ar-SA"/>
              </w:rPr>
              <w:t>。</w:t>
            </w:r>
            <w:r>
              <w:rPr>
                <w:rFonts w:hint="eastAsia" w:ascii="宋体" w:hAnsi="宋体" w:eastAsia="宋体" w:cs="宋体"/>
                <w:b w:val="0"/>
                <w:bCs w:val="0"/>
                <w:sz w:val="21"/>
                <w:szCs w:val="21"/>
                <w:highlight w:val="none"/>
                <w:u w:val="none"/>
                <w:lang w:eastAsia="zh-CN"/>
              </w:rPr>
              <w:t>如证明材料不能体现项目类型、金额等评分要素，则须提供加盖业主公章的证明材料。如联合体中标的，需提供明确由投标人承担的实施内容的联合体协议书。以上证明材料原件扫描件编入投标文件，未提供完整或不符合要求的不予计分。</w:t>
            </w:r>
          </w:p>
        </w:tc>
      </w:tr>
    </w:tbl>
    <w:p w14:paraId="0CCC1DC5">
      <w:pPr>
        <w:keepNext w:val="0"/>
        <w:keepLines w:val="0"/>
        <w:pageBreakBefore w:val="0"/>
        <w:widowControl w:val="0"/>
        <w:kinsoku/>
        <w:wordWrap/>
        <w:overflowPunct/>
        <w:topLinePunct w:val="0"/>
        <w:autoSpaceDE/>
        <w:autoSpaceDN/>
        <w:bidi w:val="0"/>
        <w:adjustRightInd w:val="0"/>
        <w:snapToGrid w:val="0"/>
        <w:spacing w:before="35"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（四）商务标评审</w:t>
      </w:r>
    </w:p>
    <w:p w14:paraId="1D9B0121">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1、商务标评审是对投标文件中项目清单的范围、数量、报价进行全面审核和对比分析。投标文件存在投标须知前附表10.1情形商务性内容之一的，评标委员会组织投标人询问核实后，情况属实的，商务标评审不予通过，否决其投标，不再进入后续评审程序。</w:t>
      </w:r>
    </w:p>
    <w:p w14:paraId="0A465549">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2、商务标评分(☑≥6</w:t>
      </w:r>
      <w:r>
        <w:rPr>
          <w:rFonts w:hint="eastAsia" w:ascii="宋体" w:hAnsi="宋体" w:cs="宋体"/>
          <w:b/>
          <w:bCs/>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分，适用于技术复杂项目；□≥70分，适用于非技术复杂项目）</w:t>
      </w:r>
    </w:p>
    <w:p w14:paraId="2A1B38B0">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b/>
          <w:bCs/>
          <w:color w:val="000000" w:themeColor="text1"/>
          <w:highlight w:val="none"/>
          <w:u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投标报价等于评标基准价时，商务评分为</w:t>
      </w:r>
      <w:r>
        <w:rPr>
          <w:rFonts w:hint="eastAsia" w:ascii="宋体" w:hAnsi="宋体" w:eastAsia="宋体" w:cs="宋体"/>
          <w:b/>
          <w:bCs/>
          <w:color w:val="000000" w:themeColor="text1"/>
          <w:highlight w:val="none"/>
          <w:u w:val="none"/>
          <w:lang w:eastAsia="zh-CN"/>
          <w14:textFill>
            <w14:solidFill>
              <w14:schemeClr w14:val="tx1"/>
            </w14:solidFill>
          </w14:textFill>
        </w:rPr>
        <w:t>满分；投标报价得分</w:t>
      </w:r>
      <w:r>
        <w:rPr>
          <w:rFonts w:hint="eastAsia" w:ascii="宋体" w:hAnsi="宋体" w:eastAsia="宋体" w:cs="宋体"/>
          <w:b/>
          <w:bCs/>
          <w:color w:val="000000" w:themeColor="text1"/>
          <w:highlight w:val="none"/>
          <w:u w:val="none"/>
          <w:lang w:val="en-US" w:eastAsia="zh-CN"/>
          <w14:textFill>
            <w14:solidFill>
              <w14:schemeClr w14:val="tx1"/>
            </w14:solidFill>
          </w14:textFill>
        </w:rPr>
        <w:t>=6</w:t>
      </w:r>
      <w:r>
        <w:rPr>
          <w:rFonts w:hint="eastAsia" w:ascii="宋体" w:hAnsi="宋体" w:cs="宋体"/>
          <w:b/>
          <w:bCs/>
          <w:color w:val="000000" w:themeColor="text1"/>
          <w:highlight w:val="none"/>
          <w:u w:val="none"/>
          <w:lang w:val="en-US" w:eastAsia="zh-CN"/>
          <w14:textFill>
            <w14:solidFill>
              <w14:schemeClr w14:val="tx1"/>
            </w14:solidFill>
          </w14:textFill>
        </w:rPr>
        <w:t>4</w:t>
      </w:r>
      <w:r>
        <w:rPr>
          <w:rFonts w:hint="eastAsia" w:ascii="宋体" w:hAnsi="宋体" w:eastAsia="宋体" w:cs="宋体"/>
          <w:b/>
          <w:bCs/>
          <w:color w:val="000000" w:themeColor="text1"/>
          <w:highlight w:val="none"/>
          <w:u w:val="none"/>
          <w:lang w:eastAsia="zh-CN"/>
          <w14:textFill>
            <w14:solidFill>
              <w14:schemeClr w14:val="tx1"/>
            </w14:solidFill>
          </w14:textFill>
        </w:rPr>
        <w:t>-</w:t>
      </w:r>
      <w:r>
        <w:rPr>
          <w:rFonts w:hint="eastAsia" w:ascii="宋体" w:hAnsi="宋体" w:eastAsia="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u w:val="none"/>
          <w:lang w:eastAsia="zh-CN"/>
          <w14:textFill>
            <w14:solidFill>
              <w14:schemeClr w14:val="tx1"/>
            </w14:solidFill>
          </w14:textFill>
        </w:rPr>
        <w:t>投标报价</w:t>
      </w:r>
      <w:r>
        <w:rPr>
          <w:rFonts w:hint="eastAsia" w:ascii="宋体" w:hAnsi="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u w:val="none"/>
          <w:lang w:eastAsia="zh-CN"/>
          <w14:textFill>
            <w14:solidFill>
              <w14:schemeClr w14:val="tx1"/>
            </w14:solidFill>
          </w14:textFill>
        </w:rPr>
        <w:t>评标基准价|÷评标基准价</w:t>
      </w:r>
      <w:r>
        <w:rPr>
          <w:rFonts w:hint="eastAsia" w:ascii="宋体" w:hAnsi="宋体" w:eastAsia="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u w:val="none"/>
          <w:lang w:eastAsia="zh-CN"/>
          <w14:textFill>
            <w14:solidFill>
              <w14:schemeClr w14:val="tx1"/>
            </w14:solidFill>
          </w14:textFill>
        </w:rPr>
        <w:t>100</w:t>
      </w:r>
      <w:r>
        <w:rPr>
          <w:rFonts w:hint="eastAsia" w:ascii="宋体" w:hAnsi="宋体" w:eastAsia="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u w:val="none"/>
          <w:lang w:eastAsia="zh-CN"/>
          <w14:textFill>
            <w14:solidFill>
              <w14:schemeClr w14:val="tx1"/>
            </w14:solidFill>
          </w14:textFill>
        </w:rPr>
        <w:t>M（</w:t>
      </w:r>
      <w:r>
        <w:rPr>
          <w:rFonts w:hint="eastAsia" w:ascii="宋体" w:hAnsi="宋体" w:eastAsia="宋体" w:cs="宋体"/>
          <w:b/>
          <w:bCs/>
          <w:color w:val="000000" w:themeColor="text1"/>
          <w:highlight w:val="none"/>
          <w:u w:val="none"/>
          <w:lang w:val="en-US" w:eastAsia="zh-CN"/>
          <w14:textFill>
            <w14:solidFill>
              <w14:schemeClr w14:val="tx1"/>
            </w14:solidFill>
          </w14:textFill>
        </w:rPr>
        <w:t>M</w:t>
      </w:r>
      <w:r>
        <w:rPr>
          <w:rFonts w:hint="eastAsia" w:ascii="宋体" w:hAnsi="宋体" w:eastAsia="宋体" w:cs="宋体"/>
          <w:b/>
          <w:bCs/>
          <w:color w:val="000000" w:themeColor="text1"/>
          <w:highlight w:val="none"/>
          <w:u w:val="none"/>
          <w:lang w:eastAsia="zh-CN"/>
          <w14:textFill>
            <w14:solidFill>
              <w14:schemeClr w14:val="tx1"/>
            </w14:solidFill>
          </w14:textFill>
        </w:rPr>
        <w:t>:是评标价每高于或低于评标基准价一个百分点的扣分值。当评标价高于评标基准价时M取值为1，当评标价低于评标基准价时</w:t>
      </w:r>
      <w:r>
        <w:rPr>
          <w:rFonts w:hint="eastAsia" w:ascii="宋体" w:hAnsi="宋体" w:eastAsia="宋体" w:cs="宋体"/>
          <w:b/>
          <w:bCs/>
          <w:color w:val="000000" w:themeColor="text1"/>
          <w:highlight w:val="none"/>
          <w:u w:val="none"/>
          <w:lang w:val="en-US" w:eastAsia="zh-CN"/>
          <w14:textFill>
            <w14:solidFill>
              <w14:schemeClr w14:val="tx1"/>
            </w14:solidFill>
          </w14:textFill>
        </w:rPr>
        <w:t>M</w:t>
      </w:r>
      <w:r>
        <w:rPr>
          <w:rFonts w:hint="eastAsia" w:ascii="宋体" w:hAnsi="宋体" w:eastAsia="宋体" w:cs="宋体"/>
          <w:b/>
          <w:bCs/>
          <w:color w:val="000000" w:themeColor="text1"/>
          <w:highlight w:val="none"/>
          <w:u w:val="none"/>
          <w:lang w:eastAsia="zh-CN"/>
          <w14:textFill>
            <w14:solidFill>
              <w14:schemeClr w14:val="tx1"/>
            </w14:solidFill>
          </w14:textFill>
        </w:rPr>
        <w:t>取值为0.5）。</w:t>
      </w:r>
      <w:r>
        <w:rPr>
          <w:rFonts w:hint="eastAsia" w:ascii="宋体" w:hAnsi="宋体" w:eastAsia="宋体" w:cs="宋体"/>
          <w:b/>
          <w:bCs/>
          <w:color w:val="000000" w:themeColor="text1"/>
          <w:highlight w:val="none"/>
          <w:u w:val="none"/>
          <w:lang w:val="en-US" w:eastAsia="zh-CN"/>
          <w14:textFill>
            <w14:solidFill>
              <w14:schemeClr w14:val="tx1"/>
            </w14:solidFill>
          </w14:textFill>
        </w:rPr>
        <w:t>不足一个百分点的，</w:t>
      </w:r>
      <w:r>
        <w:rPr>
          <w:rFonts w:hint="eastAsia" w:ascii="宋体" w:hAnsi="宋体" w:eastAsia="宋体" w:cs="宋体"/>
          <w:b/>
          <w:bCs/>
          <w:i w:val="0"/>
          <w:iCs w:val="0"/>
          <w:color w:val="000000" w:themeColor="text1"/>
          <w:spacing w:val="0"/>
          <w:sz w:val="21"/>
          <w:szCs w:val="21"/>
          <w:highlight w:val="none"/>
          <w:lang w:val="en-US" w:eastAsia="zh-CN"/>
          <w14:textFill>
            <w14:solidFill>
              <w14:schemeClr w14:val="tx1"/>
            </w14:solidFill>
          </w14:textFill>
        </w:rPr>
        <w:t>使用直线插入法计算，结果四舍</w:t>
      </w:r>
      <w:r>
        <w:rPr>
          <w:rFonts w:hint="eastAsia" w:ascii="宋体" w:hAnsi="宋体" w:eastAsia="宋体" w:cs="宋体"/>
          <w:b/>
          <w:bCs/>
          <w:color w:val="000000" w:themeColor="text1"/>
          <w:highlight w:val="none"/>
          <w:u w:val="none"/>
          <w:lang w:val="en-US" w:eastAsia="zh-CN"/>
          <w14:textFill>
            <w14:solidFill>
              <w14:schemeClr w14:val="tx1"/>
            </w14:solidFill>
          </w14:textFill>
        </w:rPr>
        <w:t>五入保留两位小数。</w:t>
      </w:r>
    </w:p>
    <w:p w14:paraId="3B4D9A8D">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b/>
          <w:bCs/>
          <w:color w:val="000000" w:themeColor="text1"/>
          <w:highlight w:val="none"/>
          <w:u w:val="none"/>
          <w:lang w:eastAsia="zh-CN"/>
          <w14:textFill>
            <w14:solidFill>
              <w14:schemeClr w14:val="tx1"/>
            </w14:solidFill>
          </w14:textFill>
        </w:rPr>
      </w:pPr>
      <w:r>
        <w:rPr>
          <w:rFonts w:hint="eastAsia" w:ascii="宋体" w:hAnsi="宋体" w:eastAsia="宋体" w:cs="宋体"/>
          <w:b/>
          <w:bCs/>
          <w:color w:val="000000" w:themeColor="text1"/>
          <w:highlight w:val="none"/>
          <w:u w:val="none"/>
          <w:lang w:eastAsia="zh-CN"/>
          <w14:textFill>
            <w14:solidFill>
              <w14:schemeClr w14:val="tx1"/>
            </w14:solidFill>
          </w14:textFill>
        </w:rPr>
        <w:t>评标基准价计算方法：低于或等于所有有效投标报价(低于或等于最高限价*50%的除外)算术平均值 85%的投标报价，不进入最佳评标基准价的计算。计算精度保留到元，除计算差错外，评标过程中基准价保持不变。</w:t>
      </w:r>
    </w:p>
    <w:p w14:paraId="3E693C7C">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b/>
          <w:bCs/>
          <w:color w:val="000000" w:themeColor="text1"/>
          <w:highlight w:val="none"/>
          <w:u w:val="none"/>
          <w:lang w:val="en-US" w:eastAsia="zh-CN"/>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当进入最佳评标基准价计算的有效投标报价</w:t>
      </w:r>
      <w:r>
        <w:rPr>
          <w:rFonts w:hint="eastAsia" w:ascii="宋体" w:hAnsi="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u w:val="none"/>
          <w:lang w:val="en-US" w:eastAsia="zh-CN"/>
          <w14:textFill>
            <w14:solidFill>
              <w14:schemeClr w14:val="tx1"/>
            </w14:solidFill>
          </w14:textFill>
        </w:rPr>
        <w:t>5家时,取全部有效投标报价的算术平均值作为最佳评标基准价(计算精度保留到元“四舍五入”);</w:t>
      </w:r>
    </w:p>
    <w:p w14:paraId="38EFB7B3">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ascii="宋体" w:hAnsi="宋体" w:eastAsia="宋体" w:cs="宋体"/>
          <w:b/>
          <w:bCs/>
          <w:color w:val="000000" w:themeColor="text1"/>
          <w:highlight w:val="none"/>
          <w:u w:val="none"/>
          <w:lang w:val="en-US" w:eastAsia="zh-CN"/>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当进入最佳评标基准价计算的有效投标报价&gt;5家时,取资信和技术分总得分从高到低排列前5名有效投标报价的算术平均值作为最佳评标基准价(计算精度保留到元“四舍五入”);除计算差错外，评标过程中基准价保持不变。</w:t>
      </w:r>
    </w:p>
    <w:p w14:paraId="43BAEF3F">
      <w:pPr>
        <w:keepNext w:val="0"/>
        <w:keepLines w:val="0"/>
        <w:pageBreakBefore w:val="0"/>
        <w:widowControl w:val="0"/>
        <w:kinsoku/>
        <w:wordWrap/>
        <w:overflowPunct/>
        <w:topLinePunct w:val="0"/>
        <w:autoSpaceDE/>
        <w:autoSpaceDN/>
        <w:bidi w:val="0"/>
        <w:adjustRightInd w:val="0"/>
        <w:snapToGrid w:val="0"/>
        <w:spacing w:line="440" w:lineRule="exact"/>
        <w:ind w:left="0" w:right="0" w:firstLine="422" w:firstLineChars="200"/>
        <w:jc w:val="both"/>
        <w:textAlignment w:val="auto"/>
        <w:outlineLvl w:val="9"/>
        <w:rPr>
          <w:rFonts w:hint="eastAsia" w:hAnsi="宋体" w:cs="Times New Roman"/>
          <w:b/>
          <w:bCs/>
          <w:snapToGrid w:val="0"/>
          <w:color w:val="000000" w:themeColor="text1"/>
          <w:szCs w:val="24"/>
          <w:highlight w:val="none"/>
          <w14:textFill>
            <w14:solidFill>
              <w14:schemeClr w14:val="tx1"/>
            </w14:solidFill>
          </w14:textFill>
        </w:rPr>
      </w:pPr>
      <w:r>
        <w:rPr>
          <w:rFonts w:hint="eastAsia" w:ascii="宋体" w:hAnsi="宋体" w:eastAsia="宋体" w:cs="宋体"/>
          <w:b/>
          <w:bCs/>
          <w:color w:val="000000" w:themeColor="text1"/>
          <w:highlight w:val="none"/>
          <w:u w:val="none"/>
          <w:lang w:val="en-US" w:eastAsia="zh-CN"/>
          <w14:textFill>
            <w14:solidFill>
              <w14:schemeClr w14:val="tx1"/>
            </w14:solidFill>
          </w14:textFill>
        </w:rPr>
        <w:t>计算差错，仅限于以下两种情况：（1）纯算术性四则运算差错；（2）未按约定的计算方法，</w:t>
      </w:r>
      <w:r>
        <w:rPr>
          <w:rFonts w:hint="eastAsia" w:ascii="宋体" w:hAnsi="宋体" w:cs="宋体"/>
          <w:b/>
          <w:bCs/>
          <w:color w:val="000000" w:themeColor="text1"/>
          <w:szCs w:val="21"/>
          <w:highlight w:val="none"/>
          <w:lang w:val="en-US" w:eastAsia="zh-CN"/>
          <w14:textFill>
            <w14:solidFill>
              <w14:schemeClr w14:val="tx1"/>
            </w14:solidFill>
          </w14:textFill>
        </w:rPr>
        <w:t>未按抽取的参数计算的。由于评标差错，导致否决投标错误，重新评标纠正等其他情况，不属于计算差错。</w:t>
      </w:r>
    </w:p>
    <w:p w14:paraId="216A1642">
      <w:pPr>
        <w:keepNext w:val="0"/>
        <w:keepLines w:val="0"/>
        <w:pageBreakBefore w:val="0"/>
        <w:widowControl w:val="0"/>
        <w:kinsoku/>
        <w:wordWrap/>
        <w:overflowPunct/>
        <w:topLinePunct w:val="0"/>
        <w:autoSpaceDE/>
        <w:autoSpaceDN/>
        <w:bidi w:val="0"/>
        <w:adjustRightInd w:val="0"/>
        <w:snapToGrid w:val="0"/>
        <w:spacing w:before="35"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（五）推荐中标候选人</w:t>
      </w:r>
    </w:p>
    <w:p w14:paraId="159CE4E0">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评标委员会对投标人按总分从高到低进行排序，并按照排序推荐中标候选人。如总分相同的，以投标报价低的优先；投标报价仍相同的，以资信标排名靠前的优先；资信标排名仍相同的，以技术标排名靠前的优先；上述均相同的由招标人随机抽取定标候选人顺序。</w:t>
      </w:r>
    </w:p>
    <w:p w14:paraId="72E5BF10">
      <w:pPr>
        <w:keepNext w:val="0"/>
        <w:keepLines w:val="0"/>
        <w:pageBreakBefore w:val="0"/>
        <w:widowControl w:val="0"/>
        <w:kinsoku/>
        <w:wordWrap/>
        <w:overflowPunct/>
        <w:topLinePunct w:val="0"/>
        <w:autoSpaceDE/>
        <w:autoSpaceDN/>
        <w:bidi w:val="0"/>
        <w:adjustRightInd w:val="0"/>
        <w:snapToGrid w:val="0"/>
        <w:spacing w:line="40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评标委员会对拟确定的推荐中标候选人和其拟派项目负责人，是否列入失信被执行人名单以及在本招标文件（招标公告）规定时间范围内是否有行贿犯罪记录；投标人及其拟派项目负责人是否被列入建筑市场严重失信名单的、 是否被市场监督管理机关在全国企业信用信息公示系统中列入严重违法失信企业名单的、是否被人力资源社会保障行政部门列入失信联合惩戒名单（有效期内）并共享至信用信息共享平台的进行查验。如查实存在的，则取消其中标候选资格。</w:t>
      </w:r>
    </w:p>
    <w:p w14:paraId="27505F57">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当有效投标人＜3个时，评标委员会应判定本次投标是否具有竞争性。若评标委员会认为本次投标明显缺乏竞争的，可以否决全部投标。</w:t>
      </w:r>
    </w:p>
    <w:p w14:paraId="1FED7949">
      <w:pPr>
        <w:keepNext w:val="0"/>
        <w:keepLines w:val="0"/>
        <w:pageBreakBefore w:val="0"/>
        <w:widowControl w:val="0"/>
        <w:kinsoku/>
        <w:wordWrap/>
        <w:overflowPunct/>
        <w:topLinePunct w:val="0"/>
        <w:autoSpaceDE/>
        <w:autoSpaceDN/>
        <w:bidi w:val="0"/>
        <w:adjustRightInd w:val="0"/>
        <w:snapToGrid w:val="0"/>
        <w:spacing w:before="127"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五）推荐中标候选人（适用于“评定分离”方法一）</w:t>
      </w:r>
    </w:p>
    <w:p w14:paraId="5A6D8E4C">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评标委员会对投标人按综合得分从高到低进行排序，综合得分即为资信分、技术分和商务分的总和；并按得分由高到低顺序推荐中标候选人进入定标程序，但投标报价低于其成本的除外。如总分相同的，以投标报价低的优先；投标报价仍相同的，以资信标排名靠前的优先；资信标排名仍相同的，以技术标排名靠前的优先；上述均相同的由招标人随机抽取定标候选人顺序。</w:t>
      </w:r>
    </w:p>
    <w:p w14:paraId="79115A94">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评标委员会或者招标人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 是否被人力资源社会保障行政部门列入失信联合惩戒名单（有效期内）并共享至信用信息共享平台的进行查验。</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如查实存在的，则取消其中标候选资格。</w:t>
      </w:r>
    </w:p>
    <w:p w14:paraId="5147025E">
      <w:pPr>
        <w:keepNext w:val="0"/>
        <w:keepLines w:val="0"/>
        <w:pageBreakBefore w:val="0"/>
        <w:widowControl w:val="0"/>
        <w:kinsoku/>
        <w:wordWrap/>
        <w:overflowPunct/>
        <w:topLinePunct w:val="0"/>
        <w:autoSpaceDE/>
        <w:autoSpaceDN/>
        <w:bidi w:val="0"/>
        <w:adjustRightInd w:val="0"/>
        <w:snapToGrid w:val="0"/>
        <w:spacing w:line="440" w:lineRule="exact"/>
        <w:ind w:left="0" w:right="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当有效投标人＜3个时，评标委员会应判定本次投标是否具有竞争性。若评标委员会认为本次投标明显缺乏竞争的，可以否决全部投标。</w:t>
      </w:r>
    </w:p>
    <w:p w14:paraId="6001C9E8">
      <w:pP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br w:type="page"/>
      </w:r>
    </w:p>
    <w:p w14:paraId="7E0DE3FF">
      <w:pPr>
        <w:shd w:val="clear" w:color="auto" w:fill="auto"/>
        <w:tabs>
          <w:tab w:val="right" w:leader="dot" w:pos="8295"/>
        </w:tabs>
        <w:spacing w:line="480" w:lineRule="exact"/>
        <w:jc w:val="center"/>
        <w:outlineLvl w:val="1"/>
        <w:rPr>
          <w:rFonts w:hint="eastAsia" w:ascii="黑体" w:hAnsi="黑体" w:eastAsia="黑体" w:cs="黑体"/>
          <w:color w:val="000000"/>
          <w:sz w:val="32"/>
          <w:szCs w:val="32"/>
          <w:highlight w:val="none"/>
          <w:shd w:val="clear" w:color="auto" w:fill="auto"/>
          <w:lang w:val="en-US" w:eastAsia="zh-CN"/>
        </w:rPr>
      </w:pPr>
      <w:r>
        <w:rPr>
          <w:rFonts w:hint="eastAsia" w:ascii="黑体" w:hAnsi="黑体" w:eastAsia="黑体" w:cs="黑体"/>
          <w:color w:val="000000"/>
          <w:sz w:val="32"/>
          <w:szCs w:val="32"/>
          <w:highlight w:val="none"/>
          <w:shd w:val="clear" w:color="auto" w:fill="auto"/>
          <w:lang w:val="en-US" w:eastAsia="zh-CN"/>
        </w:rPr>
        <w:t>☑第二节 定标办法（适用于“评定分离”项目）</w:t>
      </w:r>
    </w:p>
    <w:p w14:paraId="4C000DD0">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22" w:firstLineChars="200"/>
        <w:jc w:val="both"/>
        <w:textAlignment w:val="auto"/>
        <w:outlineLvl w:val="2"/>
        <w:rPr>
          <w:rFonts w:hint="eastAsia" w:asciiTheme="minorEastAsia" w:hAnsiTheme="minorEastAsia" w:eastAsiaTheme="minorEastAsia" w:cstheme="minorEastAsia"/>
          <w:b/>
          <w:bCs/>
          <w:color w:val="000000"/>
          <w:sz w:val="21"/>
          <w:szCs w:val="21"/>
          <w:highlight w:val="none"/>
          <w:shd w:val="clear" w:color="auto" w:fill="auto"/>
          <w:lang w:val="en-US" w:eastAsia="zh-CN"/>
        </w:rPr>
      </w:pPr>
    </w:p>
    <w:p w14:paraId="0562702A">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2" w:firstLineChars="200"/>
        <w:jc w:val="both"/>
        <w:textAlignment w:val="auto"/>
        <w:outlineLvl w:val="2"/>
        <w:rPr>
          <w:rFonts w:hint="eastAsia" w:asciiTheme="minorEastAsia" w:hAnsiTheme="minorEastAsia" w:eastAsiaTheme="minorEastAsia" w:cstheme="minorEastAsia"/>
          <w:b/>
          <w:bCs/>
          <w:color w:val="000000"/>
          <w:sz w:val="21"/>
          <w:szCs w:val="21"/>
          <w:highlight w:val="none"/>
          <w:shd w:val="clear" w:color="auto" w:fill="auto"/>
        </w:rPr>
      </w:pPr>
      <w:r>
        <w:rPr>
          <w:rFonts w:hint="eastAsia" w:asciiTheme="minorEastAsia" w:hAnsiTheme="minorEastAsia" w:eastAsiaTheme="minorEastAsia" w:cstheme="minorEastAsia"/>
          <w:b/>
          <w:bCs/>
          <w:color w:val="000000"/>
          <w:sz w:val="21"/>
          <w:szCs w:val="21"/>
          <w:highlight w:val="none"/>
          <w:shd w:val="clear" w:color="auto" w:fill="auto"/>
          <w:lang w:val="en-US" w:eastAsia="zh-CN"/>
        </w:rPr>
        <w:t xml:space="preserve">一、定标原则 </w:t>
      </w:r>
    </w:p>
    <w:p w14:paraId="37A296A5">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宋体" w:hAnsi="宋体"/>
          <w:color w:val="auto"/>
          <w:highlight w:val="none"/>
        </w:rPr>
        <w:t>定标应遵循招标人负责制、公开透明、诚信守约的原则</w:t>
      </w:r>
      <w:r>
        <w:rPr>
          <w:rFonts w:hint="eastAsia" w:ascii="宋体" w:hAnsi="宋体"/>
          <w:color w:val="auto"/>
          <w:highlight w:val="none"/>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 </w:t>
      </w:r>
    </w:p>
    <w:p w14:paraId="3BFCBE8C">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2"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b/>
          <w:bCs/>
          <w:color w:val="000000"/>
          <w:sz w:val="21"/>
          <w:szCs w:val="21"/>
          <w:highlight w:val="none"/>
          <w:shd w:val="clear" w:color="auto" w:fill="auto"/>
          <w:lang w:val="en-US" w:eastAsia="zh-CN"/>
        </w:rPr>
        <w:t>二、定标组织</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 </w:t>
      </w:r>
    </w:p>
    <w:p w14:paraId="61AF957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（一）定标工作由招标人组建的定标委员会负责，定标委员会的组建：</w:t>
      </w:r>
    </w:p>
    <w:p w14:paraId="60EE268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1.定标委员会组建人数见投标人须知前附表。</w:t>
      </w:r>
    </w:p>
    <w:p w14:paraId="099A92EC">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2.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15520FD8">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3.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6BF73B2D">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4.定标委员会成员与中标候选人有利害关系的应主动说明并申请回避。</w:t>
      </w:r>
    </w:p>
    <w:p w14:paraId="24FE974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5.定标委员会名单在中标结果确定前应保密。 </w:t>
      </w:r>
    </w:p>
    <w:p w14:paraId="10E2284A">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（二）</w:t>
      </w:r>
      <w:r>
        <w:rPr>
          <w:rFonts w:hint="default" w:asciiTheme="minorEastAsia" w:hAnsiTheme="minorEastAsia" w:eastAsiaTheme="minorEastAsia" w:cstheme="minorEastAsia"/>
          <w:color w:val="000000"/>
          <w:sz w:val="21"/>
          <w:szCs w:val="21"/>
          <w:highlight w:val="none"/>
          <w:shd w:val="clear" w:color="auto" w:fill="auto"/>
          <w:lang w:val="en-US" w:eastAsia="zh-CN"/>
        </w:rPr>
        <w:t>定标委员会应当按照招标文件确定的定标标准和方法，客观、公正定标，招标文件没有规定的定标标准和方法不得作为定标的依据。</w:t>
      </w:r>
    </w:p>
    <w:p w14:paraId="0D3F979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2" w:firstLineChars="200"/>
        <w:jc w:val="both"/>
        <w:textAlignment w:val="auto"/>
        <w:outlineLvl w:val="9"/>
        <w:rPr>
          <w:rFonts w:hint="eastAsia" w:asciiTheme="minorEastAsia" w:hAnsiTheme="minorEastAsia" w:eastAsiaTheme="minorEastAsia" w:cstheme="minorEastAsia"/>
          <w:b/>
          <w:bCs/>
          <w:color w:val="000000"/>
          <w:sz w:val="21"/>
          <w:szCs w:val="21"/>
          <w:highlight w:val="none"/>
          <w:shd w:val="clear" w:color="auto" w:fill="auto"/>
          <w:lang w:val="en-US" w:eastAsia="zh-CN"/>
        </w:rPr>
      </w:pPr>
      <w:r>
        <w:rPr>
          <w:rFonts w:hint="eastAsia" w:asciiTheme="minorEastAsia" w:hAnsiTheme="minorEastAsia" w:eastAsiaTheme="minorEastAsia" w:cstheme="minorEastAsia"/>
          <w:b/>
          <w:bCs/>
          <w:color w:val="000000"/>
          <w:sz w:val="21"/>
          <w:szCs w:val="21"/>
          <w:highlight w:val="none"/>
          <w:shd w:val="clear" w:color="auto" w:fill="auto"/>
          <w:lang w:val="en-US" w:eastAsia="zh-CN"/>
        </w:rPr>
        <w:t>三、定标方法</w:t>
      </w:r>
    </w:p>
    <w:p w14:paraId="65DE63ED">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default" w:asciiTheme="minorEastAsia" w:hAnsiTheme="minorEastAsia" w:eastAsiaTheme="minorEastAsia" w:cstheme="minorEastAsia"/>
          <w:color w:val="000000"/>
          <w:sz w:val="21"/>
          <w:szCs w:val="21"/>
          <w:highlight w:val="none"/>
          <w:shd w:val="clear" w:color="auto" w:fill="auto"/>
          <w:lang w:val="en-US" w:eastAsia="zh-CN"/>
        </w:rPr>
        <w:t>定标委员会按</w:t>
      </w:r>
      <w:r>
        <w:rPr>
          <w:rFonts w:hint="eastAsia" w:asciiTheme="minorEastAsia" w:hAnsiTheme="minorEastAsia" w:eastAsiaTheme="minorEastAsia" w:cstheme="minorEastAsia"/>
          <w:color w:val="000000"/>
          <w:sz w:val="21"/>
          <w:szCs w:val="21"/>
          <w:highlight w:val="none"/>
          <w:shd w:val="clear" w:color="auto" w:fill="auto"/>
          <w:lang w:val="en-US" w:eastAsia="zh-CN"/>
        </w:rPr>
        <w:t>下列</w:t>
      </w:r>
      <w:r>
        <w:rPr>
          <w:rFonts w:hint="default" w:asciiTheme="minorEastAsia" w:hAnsiTheme="minorEastAsia" w:eastAsiaTheme="minorEastAsia" w:cstheme="minorEastAsia"/>
          <w:color w:val="000000"/>
          <w:sz w:val="21"/>
          <w:szCs w:val="21"/>
          <w:highlight w:val="none"/>
          <w:shd w:val="clear" w:color="auto" w:fill="auto"/>
          <w:lang w:val="en-US" w:eastAsia="zh-CN"/>
        </w:rPr>
        <w:t>方法确定中标人</w:t>
      </w:r>
      <w:r>
        <w:rPr>
          <w:rFonts w:hint="eastAsia" w:asciiTheme="minorEastAsia" w:hAnsiTheme="minorEastAsia" w:eastAsiaTheme="minorEastAsia" w:cstheme="minorEastAsia"/>
          <w:color w:val="000000"/>
          <w:sz w:val="21"/>
          <w:szCs w:val="21"/>
          <w:highlight w:val="none"/>
          <w:shd w:val="clear" w:color="auto" w:fill="auto"/>
          <w:lang w:val="en-US" w:eastAsia="zh-CN"/>
        </w:rPr>
        <w:t>：</w:t>
      </w:r>
    </w:p>
    <w:p w14:paraId="745F827F">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☑票决法。由定标委员会以直接票决或者逐轮票决的方式确定中标人。 </w:t>
      </w:r>
    </w:p>
    <w:p w14:paraId="4389A73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☑直接票决法： </w:t>
      </w:r>
    </w:p>
    <w:p w14:paraId="21D8D69A">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☑直接票决法一：定标委员会在进入投票范围的中标候选人中，以每人投票支持一个中标候选人的方式，得票最多且过半数的中标候选人为中标人。</w:t>
      </w:r>
    </w:p>
    <w:p w14:paraId="68352E15">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作为二次投票的范围，直至出现得票过半数的中标候选人为止。</w:t>
      </w:r>
    </w:p>
    <w:p w14:paraId="3605A930">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□直接票决法二：定标委员会在进入投票范围的中标候选人中，以每人投票支持</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 xml:space="preserve"> N </w:t>
      </w:r>
      <w:r>
        <w:rPr>
          <w:rFonts w:hint="eastAsia" w:asciiTheme="minorEastAsia" w:hAnsiTheme="minorEastAsia" w:eastAsiaTheme="minorEastAsia" w:cstheme="minorEastAsia"/>
          <w:color w:val="000000"/>
          <w:sz w:val="21"/>
          <w:szCs w:val="21"/>
          <w:highlight w:val="none"/>
          <w:shd w:val="clear" w:color="auto" w:fill="auto"/>
          <w:lang w:val="en-US" w:eastAsia="zh-CN"/>
        </w:rPr>
        <w:t>（N不得超过中标候选人数）个中标候选人的方式，得票最多且过半数的中标候选人为中标人。</w:t>
      </w:r>
    </w:p>
    <w:p w14:paraId="4817553B">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作为二次投票的范围，直至出现得票过半数的中标候选人为止。</w:t>
      </w:r>
    </w:p>
    <w:p w14:paraId="241F5F8F">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□直接票决法三：定标委员会在进入投票范围的中标候选人中，以每人投票支持</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 xml:space="preserve">N </w:t>
      </w:r>
      <w:r>
        <w:rPr>
          <w:rFonts w:hint="eastAsia" w:asciiTheme="minorEastAsia" w:hAnsiTheme="minorEastAsia" w:eastAsiaTheme="minorEastAsia" w:cstheme="minorEastAsia"/>
          <w:color w:val="000000"/>
          <w:sz w:val="21"/>
          <w:szCs w:val="21"/>
          <w:highlight w:val="none"/>
          <w:shd w:val="clear" w:color="auto" w:fill="auto"/>
          <w:lang w:val="en-US" w:eastAsia="zh-CN"/>
        </w:rPr>
        <w:t>（N不得超过中标候选人数）个中标候选人的方式，得票最多的中标候选人为中标人。</w:t>
      </w:r>
    </w:p>
    <w:p w14:paraId="378BE098">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当得票最多的中标候选人出现多个时，采用□抽签抽取 □报价低者（报价相同时抽签抽取1个中标候选人）由招标人法定代表人或其委托代表直接确定1个中标候选人作为中标人。         </w:t>
      </w:r>
    </w:p>
    <w:p w14:paraId="32407B5E">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□逐轮票决法：</w:t>
      </w:r>
    </w:p>
    <w:p w14:paraId="6B377D2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□逐轮票决法一：定标委员会在进入投票范围的中标候选人中，以每人投票支持</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 (N≥3)</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个中标候选人的方式，得票最多的</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个中标候选人进入下一轮的淘汰投票。在确定第</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个中标候选人时如果出现同票的，则采用□抽签抽取或报价低者（报价相同时抽签抽取1个中标候选人）□由招标人法定代表人或其委托代表直接确定1个中标候选人进入下一轮的淘汰投票。</w:t>
      </w:r>
    </w:p>
    <w:p w14:paraId="646CE0F2">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个中标候选人中按前述规则进行二次淘汰，剩余的中标候选人进入下一轮淘汰投票。根据前述规则，直至剩余1名中标候选人为中标人。</w:t>
      </w:r>
    </w:p>
    <w:p w14:paraId="434A39C5">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617FF63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□票决抽签法：</w:t>
      </w:r>
    </w:p>
    <w:p w14:paraId="4B532087">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□票决抽签法一：定标委员会在进入投票范围的中标候选人中，以每人投票支持</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 (N≥3)</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个中标候选人的方式，得票较多的</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3597A826">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4E29AE9E">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个中标候选人，剩余的中标候选人进入下一轮淘汰投票，最终确</w:t>
      </w:r>
      <w:r>
        <w:rPr>
          <w:rFonts w:hint="eastAsia" w:asciiTheme="minorEastAsia" w:hAnsiTheme="minorEastAsia" w:eastAsiaTheme="minorEastAsia" w:cstheme="minorEastAsia"/>
          <w:color w:val="000000"/>
          <w:sz w:val="21"/>
          <w:szCs w:val="21"/>
          <w:highlight w:val="none"/>
          <w:u w:val="none"/>
          <w:shd w:val="clear" w:color="auto" w:fill="auto"/>
          <w:lang w:val="en-US" w:eastAsia="zh-CN"/>
        </w:rPr>
        <w:t>定</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个中标候选人。在最终确定第</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个中标候选人时如果出现同票的，则采用□抽签抽取 □报价低者（报价相同时抽签抽取1个中标候选人） □由招标人法定代表人或其委托代表直接确定进入抽签环节的中标候选人。定标委员会在上述</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N</w:t>
      </w:r>
      <w:r>
        <w:rPr>
          <w:rFonts w:hint="eastAsia" w:asciiTheme="minorEastAsia" w:hAnsiTheme="minorEastAsia" w:eastAsiaTheme="minorEastAsia" w:cstheme="minorEastAsia"/>
          <w:color w:val="000000"/>
          <w:sz w:val="21"/>
          <w:szCs w:val="21"/>
          <w:highlight w:val="none"/>
          <w:shd w:val="clear" w:color="auto" w:fill="auto"/>
          <w:lang w:val="en-US" w:eastAsia="zh-CN"/>
        </w:rPr>
        <w:t>个中标候选人中随机抽签确定中标人。</w:t>
      </w:r>
    </w:p>
    <w:p w14:paraId="0A85806B">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□集体议事法。由定标委员会进行集体商议，定标委员会成员各自发表意见，由定标委员会组长最终确定中标人。所有参加会议的定标委员会成员的意见应当作书面记录，并由定标委员会成员签字确认。</w:t>
      </w:r>
    </w:p>
    <w:p w14:paraId="0EFBBD70">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□其他定标办法：</w:t>
      </w:r>
      <w:r>
        <w:rPr>
          <w:rFonts w:hint="eastAsia" w:asciiTheme="minorEastAsia" w:hAnsiTheme="minorEastAsia" w:eastAsiaTheme="minorEastAsia" w:cstheme="minorEastAsia"/>
          <w:color w:val="000000"/>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  </w:t>
      </w:r>
    </w:p>
    <w:p w14:paraId="18474632">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2" w:firstLineChars="200"/>
        <w:jc w:val="both"/>
        <w:textAlignment w:val="auto"/>
        <w:outlineLvl w:val="9"/>
        <w:rPr>
          <w:rFonts w:hint="eastAsia" w:asciiTheme="minorEastAsia" w:hAnsiTheme="minorEastAsia" w:eastAsiaTheme="minorEastAsia" w:cstheme="minorEastAsia"/>
          <w:b/>
          <w:bCs/>
          <w:color w:val="000000"/>
          <w:sz w:val="21"/>
          <w:szCs w:val="21"/>
          <w:highlight w:val="none"/>
          <w:shd w:val="clear" w:color="auto" w:fill="auto"/>
          <w:lang w:val="en-US" w:eastAsia="zh-CN"/>
        </w:rPr>
      </w:pPr>
      <w:r>
        <w:rPr>
          <w:rFonts w:hint="eastAsia" w:asciiTheme="minorEastAsia" w:hAnsiTheme="minorEastAsia" w:eastAsiaTheme="minorEastAsia" w:cstheme="minorEastAsia"/>
          <w:b/>
          <w:bCs/>
          <w:color w:val="000000"/>
          <w:sz w:val="21"/>
          <w:szCs w:val="21"/>
          <w:highlight w:val="none"/>
          <w:shd w:val="clear" w:color="auto" w:fill="auto"/>
          <w:lang w:val="en-US" w:eastAsia="zh-CN"/>
        </w:rPr>
        <w:t xml:space="preserve">四、定标报告 </w:t>
      </w:r>
    </w:p>
    <w:p w14:paraId="65520296">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（一）</w:t>
      </w:r>
      <w:r>
        <w:rPr>
          <w:rFonts w:hint="eastAsia" w:asciiTheme="minorEastAsia" w:hAnsiTheme="minorEastAsia" w:eastAsiaTheme="minorEastAsia" w:cstheme="minorEastAsia"/>
          <w:b/>
          <w:bCs/>
          <w:color w:val="000000"/>
          <w:sz w:val="21"/>
          <w:szCs w:val="21"/>
          <w:highlight w:val="none"/>
          <w:shd w:val="clear" w:color="auto" w:fill="auto"/>
          <w:lang w:val="en-US" w:eastAsia="zh-CN"/>
        </w:rPr>
        <w:t>定标委员会应当向招标人提交书面定标报告</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 </w:t>
      </w:r>
    </w:p>
    <w:p w14:paraId="260019A6">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（二）</w:t>
      </w:r>
      <w:r>
        <w:rPr>
          <w:rFonts w:hint="eastAsia" w:asciiTheme="minorEastAsia" w:hAnsiTheme="minorEastAsia" w:eastAsiaTheme="minorEastAsia" w:cstheme="minorEastAsia"/>
          <w:b/>
          <w:bCs/>
          <w:color w:val="000000"/>
          <w:sz w:val="21"/>
          <w:szCs w:val="21"/>
          <w:highlight w:val="none"/>
          <w:shd w:val="clear" w:color="auto" w:fill="auto"/>
          <w:lang w:val="en-US" w:eastAsia="zh-CN"/>
        </w:rPr>
        <w:t>定标报告应包括以下内容：</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 </w:t>
      </w:r>
    </w:p>
    <w:p w14:paraId="7B8877EC">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1.定标程序；</w:t>
      </w:r>
    </w:p>
    <w:p w14:paraId="23619E59">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2.定标委员名单；</w:t>
      </w:r>
    </w:p>
    <w:p w14:paraId="204F8EAE">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3.定标要素；</w:t>
      </w:r>
    </w:p>
    <w:p w14:paraId="19CBD5D3">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4.定标办法；</w:t>
      </w:r>
    </w:p>
    <w:p w14:paraId="5F8846E1">
      <w:pPr>
        <w:keepNext w:val="0"/>
        <w:keepLines w:val="0"/>
        <w:pageBreakBefore w:val="0"/>
        <w:widowControl w:val="0"/>
        <w:shd w:val="clear" w:color="auto" w:fill="auto"/>
        <w:tabs>
          <w:tab w:val="right" w:leader="dot" w:pos="8295"/>
        </w:tabs>
        <w:kinsoku/>
        <w:wordWrap/>
        <w:overflowPunct/>
        <w:topLinePunct w:val="0"/>
        <w:autoSpaceDE/>
        <w:autoSpaceDN/>
        <w:bidi w:val="0"/>
        <w:adjustRightInd/>
        <w:snapToGrid/>
        <w:spacing w:line="400" w:lineRule="exact"/>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5.定标结果。 </w:t>
      </w:r>
    </w:p>
    <w:p w14:paraId="443A25BC">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pPr>
    </w:p>
    <w:p w14:paraId="7F17347B">
      <w:pPr>
        <w:keepNext w:val="0"/>
        <w:keepLines w:val="0"/>
        <w:pageBreakBefore w:val="0"/>
        <w:widowControl w:val="0"/>
        <w:shd w:val="clear" w:color="auto" w:fill="auto"/>
        <w:tabs>
          <w:tab w:val="right" w:leader="dot" w:pos="8295"/>
        </w:tabs>
        <w:kinsoku/>
        <w:wordWrap/>
        <w:overflowPunct/>
        <w:topLinePunct w:val="0"/>
        <w:bidi w:val="0"/>
        <w:adjustRightInd/>
        <w:snapToGrid/>
        <w:spacing w:line="360" w:lineRule="auto"/>
        <w:ind w:firstLine="420" w:firstLineChars="200"/>
        <w:jc w:val="both"/>
        <w:textAlignment w:val="auto"/>
        <w:outlineLvl w:val="9"/>
        <w:rPr>
          <w:rFonts w:hint="eastAsia" w:asciiTheme="minorEastAsia" w:hAnsiTheme="minorEastAsia" w:eastAsiaTheme="minorEastAsia" w:cstheme="minorEastAsia"/>
          <w:color w:val="000000"/>
          <w:sz w:val="21"/>
          <w:szCs w:val="21"/>
          <w:highlight w:val="none"/>
          <w:shd w:val="clear" w:color="auto" w:fill="auto"/>
          <w:lang w:val="en-US" w:eastAsia="zh-CN"/>
        </w:rPr>
        <w:sectPr>
          <w:headerReference r:id="rId4" w:type="default"/>
          <w:footerReference r:id="rId5" w:type="default"/>
          <w:pgSz w:w="11906" w:h="16838"/>
          <w:pgMar w:top="1361" w:right="1304" w:bottom="1191" w:left="1304" w:header="794" w:footer="907" w:gutter="0"/>
          <w:pgNumType w:fmt="decimal"/>
          <w:cols w:space="720" w:num="1"/>
          <w:docGrid w:type="lines" w:linePitch="312" w:charSpace="0"/>
        </w:sectPr>
      </w:pPr>
    </w:p>
    <w:p w14:paraId="09CA77BB">
      <w:pPr>
        <w:spacing w:line="440" w:lineRule="exact"/>
        <w:jc w:val="center"/>
        <w:rPr>
          <w:rFonts w:hint="eastAsia" w:ascii="黑体" w:eastAsia="黑体"/>
          <w:sz w:val="36"/>
          <w:szCs w:val="36"/>
          <w:highlight w:val="none"/>
        </w:rPr>
      </w:pPr>
    </w:p>
    <w:p w14:paraId="6E0C5597">
      <w:pPr>
        <w:spacing w:line="440" w:lineRule="exact"/>
        <w:jc w:val="center"/>
        <w:rPr>
          <w:rFonts w:ascii="黑体" w:eastAsia="黑体"/>
          <w:sz w:val="36"/>
          <w:szCs w:val="36"/>
          <w:highlight w:val="none"/>
        </w:rPr>
      </w:pPr>
      <w:r>
        <w:rPr>
          <w:rFonts w:hint="eastAsia" w:ascii="黑体" w:eastAsia="黑体"/>
          <w:sz w:val="36"/>
          <w:szCs w:val="36"/>
          <w:highlight w:val="none"/>
        </w:rPr>
        <w:t>第四章  合同条款及格式</w:t>
      </w:r>
    </w:p>
    <w:p w14:paraId="36022C9E">
      <w:pPr>
        <w:jc w:val="left"/>
        <w:rPr>
          <w:rFonts w:hint="eastAsia" w:ascii="宋体" w:hAnsi="宋体" w:cs="宋体"/>
          <w:b/>
          <w:bCs/>
          <w:color w:val="000000" w:themeColor="text1"/>
          <w:sz w:val="30"/>
          <w:szCs w:val="30"/>
          <w:highlight w:val="none"/>
          <w14:textFill>
            <w14:solidFill>
              <w14:schemeClr w14:val="tx1"/>
            </w14:solidFill>
          </w14:textFill>
        </w:rPr>
      </w:pPr>
    </w:p>
    <w:p w14:paraId="222C8F01">
      <w:pPr>
        <w:jc w:val="left"/>
        <w:rPr>
          <w:rFonts w:hint="eastAsia" w:ascii="宋体" w:hAnsi="宋体" w:cs="宋体"/>
          <w:b/>
          <w:bCs/>
          <w:color w:val="000000" w:themeColor="text1"/>
          <w:sz w:val="30"/>
          <w:szCs w:val="30"/>
          <w:highlight w:val="none"/>
          <w14:textFill>
            <w14:solidFill>
              <w14:schemeClr w14:val="tx1"/>
            </w14:solidFill>
          </w14:textFill>
        </w:rPr>
      </w:pPr>
    </w:p>
    <w:p w14:paraId="0BA9D13C">
      <w:pPr>
        <w:jc w:val="left"/>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GF-2020-0216</w:t>
      </w:r>
    </w:p>
    <w:p w14:paraId="30887717">
      <w:pPr>
        <w:jc w:val="center"/>
        <w:rPr>
          <w:rFonts w:ascii="宋体" w:hAnsi="宋体" w:cs="宋体"/>
          <w:b/>
          <w:bCs/>
          <w:color w:val="000000" w:themeColor="text1"/>
          <w:sz w:val="48"/>
          <w:highlight w:val="none"/>
          <w14:textFill>
            <w14:solidFill>
              <w14:schemeClr w14:val="tx1"/>
            </w14:solidFill>
          </w14:textFill>
        </w:rPr>
      </w:pPr>
    </w:p>
    <w:p w14:paraId="7D066A67">
      <w:pPr>
        <w:jc w:val="center"/>
        <w:rPr>
          <w:rFonts w:ascii="宋体" w:hAnsi="宋体" w:cs="宋体"/>
          <w:b/>
          <w:bCs/>
          <w:color w:val="000000" w:themeColor="text1"/>
          <w:sz w:val="48"/>
          <w:highlight w:val="none"/>
          <w14:textFill>
            <w14:solidFill>
              <w14:schemeClr w14:val="tx1"/>
            </w14:solidFill>
          </w14:textFill>
        </w:rPr>
      </w:pPr>
    </w:p>
    <w:p w14:paraId="385C2DC8">
      <w:pPr>
        <w:jc w:val="center"/>
        <w:rPr>
          <w:rFonts w:ascii="宋体" w:hAnsi="宋体" w:cs="宋体"/>
          <w:b/>
          <w:bCs/>
          <w:color w:val="000000" w:themeColor="text1"/>
          <w:sz w:val="48"/>
          <w:highlight w:val="none"/>
          <w14:textFill>
            <w14:solidFill>
              <w14:schemeClr w14:val="tx1"/>
            </w14:solidFill>
          </w14:textFill>
        </w:rPr>
      </w:pPr>
    </w:p>
    <w:p w14:paraId="17FF29F7">
      <w:pPr>
        <w:pStyle w:val="62"/>
        <w:rPr>
          <w:color w:val="000000" w:themeColor="text1"/>
          <w:highlight w:val="none"/>
          <w14:textFill>
            <w14:solidFill>
              <w14:schemeClr w14:val="tx1"/>
            </w14:solidFill>
          </w14:textFill>
        </w:rPr>
      </w:pPr>
    </w:p>
    <w:p w14:paraId="7D28C2D3">
      <w:pPr>
        <w:jc w:val="center"/>
        <w:rPr>
          <w:rFonts w:ascii="宋体" w:hAnsi="宋体" w:cs="宋体"/>
          <w:b/>
          <w:bCs/>
          <w:color w:val="000000" w:themeColor="text1"/>
          <w:sz w:val="48"/>
          <w:highlight w:val="none"/>
          <w14:textFill>
            <w14:solidFill>
              <w14:schemeClr w14:val="tx1"/>
            </w14:solidFill>
          </w14:textFill>
        </w:rPr>
      </w:pPr>
    </w:p>
    <w:p w14:paraId="70CC110C">
      <w:pPr>
        <w:jc w:val="center"/>
        <w:rPr>
          <w:rFonts w:ascii="宋体" w:hAnsi="宋体" w:cs="宋体"/>
          <w:b/>
          <w:bCs/>
          <w:color w:val="000000" w:themeColor="text1"/>
          <w:sz w:val="48"/>
          <w:szCs w:val="48"/>
          <w:highlight w:val="none"/>
          <w14:textFill>
            <w14:solidFill>
              <w14:schemeClr w14:val="tx1"/>
            </w14:solidFill>
          </w14:textFill>
        </w:rPr>
      </w:pPr>
      <w:r>
        <w:rPr>
          <w:rFonts w:hint="eastAsia" w:ascii="宋体" w:hAnsi="宋体" w:cs="宋体"/>
          <w:b/>
          <w:bCs/>
          <w:color w:val="000000" w:themeColor="text1"/>
          <w:sz w:val="48"/>
          <w:highlight w:val="none"/>
          <w14:textFill>
            <w14:solidFill>
              <w14:schemeClr w14:val="tx1"/>
            </w14:solidFill>
          </w14:textFill>
        </w:rPr>
        <w:t>建设项目工程总承包合同</w:t>
      </w:r>
    </w:p>
    <w:p w14:paraId="6D227F39">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00E37438">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7C22DD87">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4D588EEF">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1E755FA4">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5369CC6B">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1C22A433">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0988D27F">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464960A1">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04D3574E">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3DAC2732">
      <w:pPr>
        <w:spacing w:line="320" w:lineRule="exact"/>
        <w:jc w:val="center"/>
        <w:rPr>
          <w:rFonts w:hint="eastAsia" w:ascii="宋体" w:hAnsi="宋体" w:cs="宋体"/>
          <w:color w:val="000000" w:themeColor="text1"/>
          <w:sz w:val="28"/>
          <w:szCs w:val="28"/>
          <w:highlight w:val="none"/>
          <w14:textFill>
            <w14:solidFill>
              <w14:schemeClr w14:val="tx1"/>
            </w14:solidFill>
          </w14:textFill>
        </w:rPr>
      </w:pPr>
    </w:p>
    <w:p w14:paraId="583651A1">
      <w:pPr>
        <w:spacing w:line="320" w:lineRule="exact"/>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中华人民共和国住房和城乡建设部</w:t>
      </w:r>
    </w:p>
    <w:p w14:paraId="6B9D4C99">
      <w:pPr>
        <w:spacing w:line="320" w:lineRule="exact"/>
        <w:ind w:left="4200" w:firstLine="42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制定</w:t>
      </w:r>
    </w:p>
    <w:p w14:paraId="53AE0235">
      <w:pPr>
        <w:spacing w:line="320" w:lineRule="exact"/>
        <w:jc w:val="center"/>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国 家 市 场 监 督 管 理 总 局</w:t>
      </w:r>
    </w:p>
    <w:p w14:paraId="7C58AF85">
      <w:pPr>
        <w:spacing w:line="400" w:lineRule="exact"/>
        <w:jc w:val="center"/>
        <w:rPr>
          <w:rFonts w:ascii="黑体" w:eastAsia="黑体"/>
          <w:sz w:val="32"/>
          <w:szCs w:val="32"/>
          <w:highlight w:val="none"/>
        </w:rPr>
      </w:pPr>
      <w:r>
        <w:rPr>
          <w:rFonts w:ascii="黑体" w:eastAsia="黑体"/>
          <w:sz w:val="30"/>
          <w:szCs w:val="30"/>
          <w:highlight w:val="none"/>
        </w:rPr>
        <w:br w:type="page"/>
      </w:r>
      <w:r>
        <w:rPr>
          <w:rFonts w:hint="eastAsia" w:ascii="黑体" w:eastAsia="黑体"/>
          <w:sz w:val="32"/>
          <w:szCs w:val="32"/>
          <w:highlight w:val="none"/>
        </w:rPr>
        <w:t>第一部分  合同协议书</w:t>
      </w:r>
    </w:p>
    <w:p w14:paraId="3AA979BE">
      <w:pPr>
        <w:rPr>
          <w:rFonts w:ascii="宋体" w:hAnsi="宋体"/>
          <w:b/>
          <w:szCs w:val="21"/>
          <w:highlight w:val="none"/>
        </w:rPr>
      </w:pPr>
    </w:p>
    <w:p w14:paraId="718CF7BF">
      <w:pPr>
        <w:rPr>
          <w:rFonts w:ascii="宋体" w:hAnsi="宋体"/>
          <w:b/>
          <w:szCs w:val="21"/>
          <w:highlight w:val="none"/>
        </w:rPr>
      </w:pPr>
    </w:p>
    <w:p w14:paraId="09709E0E">
      <w:pPr>
        <w:keepNext w:val="0"/>
        <w:keepLines w:val="0"/>
        <w:pageBreakBefore w:val="0"/>
        <w:kinsoku/>
        <w:wordWrap/>
        <w:overflowPunct/>
        <w:bidi w:val="0"/>
        <w:spacing w:line="400" w:lineRule="exact"/>
        <w:textAlignment w:val="auto"/>
        <w:rPr>
          <w:rFonts w:hint="eastAsia" w:ascii="宋体" w:hAnsi="宋体"/>
          <w:b/>
          <w:color w:val="auto"/>
          <w:szCs w:val="21"/>
          <w:highlight w:val="none"/>
          <w:u w:val="none"/>
          <w:lang w:val="en-US" w:eastAsia="zh-CN"/>
        </w:rPr>
      </w:pPr>
      <w:r>
        <w:rPr>
          <w:rFonts w:ascii="宋体" w:hAnsi="宋体"/>
          <w:b/>
          <w:szCs w:val="21"/>
          <w:highlight w:val="none"/>
        </w:rPr>
        <w:t>发包人（全称）</w:t>
      </w:r>
      <w:r>
        <w:rPr>
          <w:rFonts w:hint="eastAsia" w:ascii="宋体" w:hAnsi="宋体"/>
          <w:b/>
          <w:szCs w:val="21"/>
          <w:highlight w:val="none"/>
          <w:lang w:eastAsia="zh-CN"/>
        </w:rPr>
        <w:t>：</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none"/>
          <w:lang w:val="en-US" w:eastAsia="zh-CN"/>
        </w:rPr>
        <w:t xml:space="preserve"> </w:t>
      </w:r>
    </w:p>
    <w:p w14:paraId="213A270F">
      <w:pPr>
        <w:pStyle w:val="20"/>
        <w:rPr>
          <w:rFonts w:hint="eastAsia"/>
          <w:lang w:val="en-US" w:eastAsia="zh-CN"/>
        </w:rPr>
      </w:pPr>
      <w:r>
        <w:rPr>
          <w:rFonts w:hint="eastAsia" w:ascii="宋体" w:hAnsi="宋体"/>
          <w:b/>
          <w:color w:val="auto"/>
          <w:szCs w:val="21"/>
          <w:highlight w:val="none"/>
          <w:u w:val="none"/>
          <w:lang w:val="en-US" w:eastAsia="zh-CN"/>
        </w:rPr>
        <w:t xml:space="preserve">               </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u w:val="none"/>
          <w:lang w:val="en-US" w:eastAsia="zh-CN"/>
        </w:rPr>
        <w:t xml:space="preserve"> </w:t>
      </w:r>
    </w:p>
    <w:p w14:paraId="6DE3B722">
      <w:pPr>
        <w:keepNext w:val="0"/>
        <w:keepLines w:val="0"/>
        <w:pageBreakBefore w:val="0"/>
        <w:kinsoku/>
        <w:wordWrap/>
        <w:overflowPunct/>
        <w:bidi w:val="0"/>
        <w:spacing w:line="400" w:lineRule="exact"/>
        <w:textAlignment w:val="auto"/>
        <w:rPr>
          <w:rFonts w:hint="default" w:ascii="宋体" w:hAnsi="宋体" w:eastAsia="宋体"/>
          <w:b/>
          <w:szCs w:val="21"/>
          <w:highlight w:val="none"/>
          <w:u w:val="single"/>
          <w:lang w:val="en-US" w:eastAsia="zh-CN"/>
        </w:rPr>
      </w:pPr>
      <w:r>
        <w:rPr>
          <w:rFonts w:ascii="宋体" w:hAnsi="宋体"/>
          <w:b/>
          <w:szCs w:val="21"/>
          <w:highlight w:val="none"/>
        </w:rPr>
        <w:t>承包人（全称）：</w:t>
      </w:r>
      <w:r>
        <w:rPr>
          <w:rFonts w:hint="eastAsia" w:ascii="宋体" w:hAnsi="宋体"/>
          <w:b/>
          <w:szCs w:val="21"/>
          <w:highlight w:val="none"/>
          <w:u w:val="single"/>
        </w:rPr>
        <w:t xml:space="preserve">  </w:t>
      </w:r>
      <w:r>
        <w:rPr>
          <w:rFonts w:hint="eastAsia" w:ascii="宋体" w:hAnsi="宋体"/>
          <w:b/>
          <w:szCs w:val="21"/>
          <w:highlight w:val="none"/>
          <w:u w:val="single"/>
          <w:lang w:val="en-US" w:eastAsia="zh-CN"/>
        </w:rPr>
        <w:t xml:space="preserve">            </w:t>
      </w:r>
    </w:p>
    <w:p w14:paraId="4D203B46">
      <w:pPr>
        <w:keepNext w:val="0"/>
        <w:keepLines w:val="0"/>
        <w:pageBreakBefore w:val="0"/>
        <w:kinsoku/>
        <w:wordWrap/>
        <w:overflowPunct/>
        <w:bidi w:val="0"/>
        <w:spacing w:line="400" w:lineRule="exact"/>
        <w:ind w:firstLine="420" w:firstLineChars="200"/>
        <w:textAlignment w:val="auto"/>
        <w:rPr>
          <w:rFonts w:ascii="宋体" w:hAnsi="宋体"/>
          <w:szCs w:val="21"/>
          <w:highlight w:val="none"/>
        </w:rPr>
      </w:pPr>
      <w:r>
        <w:rPr>
          <w:rFonts w:ascii="宋体" w:hAnsi="宋体"/>
          <w:szCs w:val="21"/>
          <w:highlight w:val="none"/>
        </w:rPr>
        <w:t>根据《中华人民共和国</w:t>
      </w:r>
      <w:r>
        <w:rPr>
          <w:rFonts w:hint="eastAsia" w:ascii="宋体" w:hAnsi="宋体"/>
          <w:szCs w:val="21"/>
          <w:highlight w:val="none"/>
        </w:rPr>
        <w:t>民法典</w:t>
      </w:r>
      <w:r>
        <w:rPr>
          <w:rFonts w:ascii="宋体" w:hAnsi="宋体"/>
          <w:szCs w:val="21"/>
          <w:highlight w:val="none"/>
        </w:rPr>
        <w:t>》、《中华人民共和国建筑法》及有关法律规定，遵循平等、自愿、公平和诚实信用的原则，双方就</w:t>
      </w:r>
      <w:r>
        <w:rPr>
          <w:rFonts w:hint="eastAsia" w:ascii="宋体" w:hAnsi="宋体" w:cs="宋体"/>
          <w:szCs w:val="21"/>
          <w:highlight w:val="none"/>
          <w:u w:val="single"/>
          <w:lang w:eastAsia="zh-CN"/>
        </w:rPr>
        <w:t>开化县城市有机更新共同富裕建设项目安置地（一）基础及室外附属设施配套工程—高压配电工程总承包（EPC）</w:t>
      </w:r>
      <w:r>
        <w:rPr>
          <w:rFonts w:ascii="宋体" w:hAnsi="宋体"/>
          <w:szCs w:val="21"/>
          <w:highlight w:val="none"/>
        </w:rPr>
        <w:t>及有关事项协商一致</w:t>
      </w:r>
      <w:r>
        <w:rPr>
          <w:rFonts w:hint="eastAsia" w:ascii="宋体" w:hAnsi="宋体"/>
          <w:szCs w:val="21"/>
          <w:highlight w:val="none"/>
        </w:rPr>
        <w:t>，</w:t>
      </w:r>
      <w:r>
        <w:rPr>
          <w:rFonts w:ascii="宋体" w:hAnsi="宋体"/>
          <w:szCs w:val="21"/>
          <w:highlight w:val="none"/>
        </w:rPr>
        <w:t>共同达成如下协议：</w:t>
      </w:r>
    </w:p>
    <w:p w14:paraId="02B7863C">
      <w:pPr>
        <w:keepNext w:val="0"/>
        <w:keepLines w:val="0"/>
        <w:pageBreakBefore w:val="0"/>
        <w:kinsoku/>
        <w:wordWrap/>
        <w:overflowPunct/>
        <w:bidi w:val="0"/>
        <w:spacing w:line="400" w:lineRule="exact"/>
        <w:ind w:firstLine="420" w:firstLineChars="200"/>
        <w:textAlignment w:val="auto"/>
        <w:rPr>
          <w:highlight w:val="none"/>
        </w:rPr>
      </w:pPr>
      <w:r>
        <w:rPr>
          <w:highlight w:val="none"/>
        </w:rPr>
        <w:t>一、工程概况</w:t>
      </w:r>
    </w:p>
    <w:p w14:paraId="12CB7062">
      <w:pPr>
        <w:keepNext w:val="0"/>
        <w:keepLines w:val="0"/>
        <w:pageBreakBefore w:val="0"/>
        <w:kinsoku/>
        <w:wordWrap/>
        <w:overflowPunct/>
        <w:bidi w:val="0"/>
        <w:spacing w:line="400" w:lineRule="exact"/>
        <w:ind w:firstLine="420" w:firstLineChars="200"/>
        <w:textAlignment w:val="auto"/>
        <w:rPr>
          <w:rFonts w:ascii="宋体" w:hAnsi="宋体"/>
          <w:bCs/>
          <w:color w:val="auto"/>
          <w:szCs w:val="21"/>
          <w:highlight w:val="none"/>
        </w:rPr>
      </w:pPr>
      <w:r>
        <w:rPr>
          <w:rFonts w:ascii="宋体" w:hAnsi="宋体"/>
          <w:bCs/>
          <w:color w:val="auto"/>
          <w:szCs w:val="21"/>
          <w:highlight w:val="none"/>
        </w:rPr>
        <w:t>1.工程名称：</w:t>
      </w:r>
      <w:r>
        <w:rPr>
          <w:rFonts w:hint="eastAsia" w:ascii="宋体" w:hAnsi="宋体" w:cs="宋体"/>
          <w:color w:val="auto"/>
          <w:szCs w:val="21"/>
          <w:highlight w:val="none"/>
          <w:u w:val="single"/>
          <w:lang w:eastAsia="zh-CN"/>
        </w:rPr>
        <w:t>开化县城市有机更新共同富裕建设项目安置地（一）基础及室外附属设施配套工程—高压配电工程总承包（EPC）</w:t>
      </w:r>
      <w:r>
        <w:rPr>
          <w:rFonts w:hint="eastAsia"/>
          <w:color w:val="auto"/>
          <w:szCs w:val="21"/>
          <w:highlight w:val="none"/>
          <w:u w:val="single"/>
        </w:rPr>
        <w:t>。</w:t>
      </w:r>
      <w:r>
        <w:rPr>
          <w:rFonts w:hint="eastAsia" w:ascii="宋体" w:hAnsi="宋体"/>
          <w:color w:val="auto"/>
          <w:highlight w:val="none"/>
        </w:rPr>
        <w:t xml:space="preserve"> </w:t>
      </w:r>
    </w:p>
    <w:p w14:paraId="06E0FFF4">
      <w:pPr>
        <w:keepNext w:val="0"/>
        <w:keepLines w:val="0"/>
        <w:pageBreakBefore w:val="0"/>
        <w:kinsoku/>
        <w:wordWrap/>
        <w:overflowPunct/>
        <w:bidi w:val="0"/>
        <w:spacing w:line="400" w:lineRule="exact"/>
        <w:ind w:firstLine="420" w:firstLineChars="200"/>
        <w:textAlignment w:val="auto"/>
        <w:rPr>
          <w:color w:val="auto"/>
          <w:highlight w:val="none"/>
        </w:rPr>
      </w:pPr>
      <w:r>
        <w:rPr>
          <w:rFonts w:ascii="宋体" w:hAnsi="宋体"/>
          <w:bCs/>
          <w:color w:val="auto"/>
          <w:szCs w:val="21"/>
          <w:highlight w:val="none"/>
        </w:rPr>
        <w:t>2.工程地点：</w:t>
      </w:r>
      <w:r>
        <w:rPr>
          <w:rFonts w:hint="eastAsia" w:ascii="宋体" w:hAnsi="宋体" w:cs="宋体"/>
          <w:color w:val="auto"/>
          <w:szCs w:val="21"/>
          <w:highlight w:val="none"/>
          <w:u w:val="single"/>
          <w:lang w:eastAsia="zh-CN"/>
        </w:rPr>
        <w:t>开化县华埠镇</w:t>
      </w:r>
      <w:r>
        <w:rPr>
          <w:rFonts w:hint="eastAsia"/>
          <w:color w:val="auto"/>
          <w:szCs w:val="21"/>
          <w:highlight w:val="none"/>
          <w:u w:val="single"/>
        </w:rPr>
        <w:t>。</w:t>
      </w:r>
    </w:p>
    <w:p w14:paraId="095EC6C9">
      <w:pPr>
        <w:keepNext w:val="0"/>
        <w:keepLines w:val="0"/>
        <w:pageBreakBefore w:val="0"/>
        <w:kinsoku/>
        <w:wordWrap/>
        <w:overflowPunct/>
        <w:bidi w:val="0"/>
        <w:spacing w:line="400" w:lineRule="exact"/>
        <w:ind w:firstLine="420" w:firstLineChars="200"/>
        <w:textAlignment w:val="auto"/>
        <w:rPr>
          <w:rFonts w:hint="default" w:ascii="宋体" w:hAnsi="宋体"/>
          <w:bCs/>
          <w:color w:val="auto"/>
          <w:szCs w:val="21"/>
          <w:highlight w:val="none"/>
          <w:lang w:val="en-US"/>
        </w:rPr>
      </w:pPr>
      <w:r>
        <w:rPr>
          <w:rFonts w:ascii="宋体" w:hAnsi="宋体"/>
          <w:bCs/>
          <w:color w:val="auto"/>
          <w:szCs w:val="21"/>
          <w:highlight w:val="none"/>
        </w:rPr>
        <w:t>3.</w:t>
      </w:r>
      <w:r>
        <w:rPr>
          <w:rFonts w:hint="eastAsia" w:ascii="宋体" w:hAnsi="宋体" w:cs="宋体"/>
          <w:color w:val="auto"/>
          <w:szCs w:val="21"/>
          <w:highlight w:val="none"/>
        </w:rPr>
        <w:t>工程审批、核准或备案文号</w:t>
      </w:r>
      <w:r>
        <w:rPr>
          <w:rFonts w:ascii="宋体" w:hAnsi="宋体"/>
          <w:bCs/>
          <w:color w:val="auto"/>
          <w:szCs w:val="21"/>
          <w:highlight w:val="none"/>
        </w:rPr>
        <w:t>：</w:t>
      </w:r>
      <w:r>
        <w:rPr>
          <w:rFonts w:hint="eastAsia" w:ascii="宋体" w:hAnsi="宋体"/>
          <w:bCs/>
          <w:color w:val="auto"/>
          <w:szCs w:val="21"/>
          <w:highlight w:val="none"/>
          <w:u w:val="single"/>
        </w:rPr>
        <w:t>开发改初设〔2024〕4号</w:t>
      </w:r>
      <w:r>
        <w:rPr>
          <w:rFonts w:ascii="宋体" w:hAnsi="宋体"/>
          <w:bCs/>
          <w:color w:val="auto"/>
          <w:szCs w:val="21"/>
          <w:highlight w:val="none"/>
        </w:rPr>
        <w:t>。</w:t>
      </w:r>
    </w:p>
    <w:p w14:paraId="54F83F72">
      <w:pPr>
        <w:keepNext w:val="0"/>
        <w:keepLines w:val="0"/>
        <w:pageBreakBefore w:val="0"/>
        <w:kinsoku/>
        <w:wordWrap/>
        <w:overflowPunct/>
        <w:bidi w:val="0"/>
        <w:spacing w:line="400" w:lineRule="exact"/>
        <w:ind w:firstLine="420" w:firstLineChars="200"/>
        <w:textAlignment w:val="auto"/>
        <w:rPr>
          <w:rFonts w:ascii="宋体" w:hAnsi="宋体"/>
          <w:bCs/>
          <w:color w:val="auto"/>
          <w:szCs w:val="21"/>
          <w:highlight w:val="none"/>
        </w:rPr>
      </w:pPr>
      <w:r>
        <w:rPr>
          <w:rFonts w:ascii="宋体" w:hAnsi="宋体"/>
          <w:bCs/>
          <w:color w:val="auto"/>
          <w:szCs w:val="21"/>
          <w:highlight w:val="none"/>
        </w:rPr>
        <w:t>4.资金来源：</w:t>
      </w:r>
      <w:r>
        <w:rPr>
          <w:rFonts w:hint="eastAsia" w:ascii="宋体" w:hAnsi="宋体" w:cs="Times New Roman"/>
          <w:bCs/>
          <w:color w:val="auto"/>
          <w:szCs w:val="21"/>
          <w:highlight w:val="none"/>
          <w:u w:val="single"/>
          <w:shd w:val="clear" w:color="auto" w:fill="auto"/>
          <w:lang w:val="en-US" w:eastAsia="zh-CN"/>
        </w:rPr>
        <w:t>自筹</w:t>
      </w:r>
      <w:r>
        <w:rPr>
          <w:rFonts w:ascii="宋体" w:hAnsi="宋体"/>
          <w:bCs/>
          <w:color w:val="auto"/>
          <w:szCs w:val="21"/>
          <w:highlight w:val="none"/>
        </w:rPr>
        <w:t>。</w:t>
      </w:r>
    </w:p>
    <w:p w14:paraId="772A097C">
      <w:pPr>
        <w:keepNext w:val="0"/>
        <w:keepLines w:val="0"/>
        <w:pageBreakBefore w:val="0"/>
        <w:kinsoku/>
        <w:wordWrap/>
        <w:overflowPunct/>
        <w:bidi w:val="0"/>
        <w:spacing w:line="400" w:lineRule="exact"/>
        <w:ind w:firstLine="420" w:firstLineChars="200"/>
        <w:textAlignment w:val="auto"/>
        <w:rPr>
          <w:rFonts w:hint="eastAsia" w:ascii="宋体" w:hAnsi="宋体"/>
          <w:bCs/>
          <w:color w:val="000000"/>
          <w:szCs w:val="21"/>
          <w:highlight w:val="none"/>
          <w:lang w:eastAsia="zh-CN"/>
        </w:rPr>
      </w:pPr>
      <w:r>
        <w:rPr>
          <w:rFonts w:hint="eastAsia" w:ascii="宋体" w:hAnsi="宋体"/>
          <w:bCs/>
          <w:color w:val="auto"/>
          <w:szCs w:val="21"/>
          <w:highlight w:val="none"/>
        </w:rPr>
        <w:t>5.工程内容</w:t>
      </w:r>
      <w:r>
        <w:rPr>
          <w:rFonts w:hint="eastAsia" w:ascii="宋体" w:hAnsi="宋体"/>
          <w:bCs/>
          <w:color w:val="auto"/>
          <w:szCs w:val="21"/>
          <w:highlight w:val="none"/>
          <w:lang w:val="en-US" w:eastAsia="zh-CN"/>
        </w:rPr>
        <w:t>及规模</w:t>
      </w:r>
      <w:r>
        <w:rPr>
          <w:rFonts w:hint="eastAsia" w:ascii="宋体" w:hAnsi="宋体"/>
          <w:bCs/>
          <w:color w:val="000000"/>
          <w:szCs w:val="21"/>
          <w:highlight w:val="none"/>
        </w:rPr>
        <w:t>：</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lang w:eastAsia="zh-CN"/>
        </w:rPr>
        <w:t>。</w:t>
      </w:r>
    </w:p>
    <w:p w14:paraId="0A9FF593">
      <w:pPr>
        <w:keepNext w:val="0"/>
        <w:keepLines w:val="0"/>
        <w:pageBreakBefore w:val="0"/>
        <w:kinsoku/>
        <w:wordWrap/>
        <w:overflowPunct/>
        <w:bidi w:val="0"/>
        <w:spacing w:line="400" w:lineRule="exact"/>
        <w:ind w:firstLine="420" w:firstLineChars="200"/>
        <w:textAlignment w:val="auto"/>
        <w:rPr>
          <w:rFonts w:ascii="宋体" w:hAnsi="宋体"/>
          <w:bCs/>
          <w:color w:val="000000"/>
          <w:szCs w:val="21"/>
          <w:highlight w:val="none"/>
          <w:u w:val="single"/>
        </w:rPr>
      </w:pPr>
      <w:r>
        <w:rPr>
          <w:rFonts w:hint="eastAsia" w:ascii="宋体" w:hAnsi="宋体"/>
          <w:color w:val="000000"/>
          <w:szCs w:val="21"/>
          <w:highlight w:val="none"/>
        </w:rPr>
        <w:t>群体工程应附《</w:t>
      </w:r>
      <w:r>
        <w:rPr>
          <w:rFonts w:ascii="宋体" w:hAnsi="宋体"/>
          <w:color w:val="000000"/>
          <w:szCs w:val="21"/>
          <w:highlight w:val="none"/>
        </w:rPr>
        <w:t>承包人承揽工程项目一览表</w:t>
      </w:r>
      <w:r>
        <w:rPr>
          <w:rFonts w:hint="eastAsia" w:ascii="宋体" w:hAnsi="宋体"/>
          <w:color w:val="000000"/>
          <w:szCs w:val="21"/>
          <w:highlight w:val="none"/>
        </w:rPr>
        <w:t>》（附件1）。</w:t>
      </w:r>
    </w:p>
    <w:p w14:paraId="62C42D4E">
      <w:pPr>
        <w:keepNext w:val="0"/>
        <w:keepLines w:val="0"/>
        <w:pageBreakBefore w:val="0"/>
        <w:kinsoku/>
        <w:wordWrap/>
        <w:overflowPunct/>
        <w:bidi w:val="0"/>
        <w:spacing w:line="400" w:lineRule="exact"/>
        <w:ind w:firstLine="420" w:firstLineChars="200"/>
        <w:textAlignment w:val="auto"/>
        <w:rPr>
          <w:rFonts w:hint="eastAsia" w:ascii="宋体" w:hAnsi="宋体"/>
          <w:bCs/>
          <w:color w:val="000000"/>
          <w:szCs w:val="21"/>
          <w:highlight w:val="none"/>
          <w:lang w:eastAsia="zh-CN"/>
        </w:rPr>
      </w:pPr>
      <w:r>
        <w:rPr>
          <w:rFonts w:hint="eastAsia" w:ascii="宋体" w:hAnsi="宋体"/>
          <w:bCs/>
          <w:color w:val="000000"/>
          <w:szCs w:val="21"/>
          <w:highlight w:val="none"/>
        </w:rPr>
        <w:t>6.</w:t>
      </w:r>
      <w:r>
        <w:rPr>
          <w:rFonts w:ascii="宋体" w:hAnsi="宋体"/>
          <w:bCs/>
          <w:color w:val="000000"/>
          <w:szCs w:val="21"/>
          <w:highlight w:val="none"/>
        </w:rPr>
        <w:t>工程承包范围：</w:t>
      </w:r>
      <w:r>
        <w:rPr>
          <w:rFonts w:hint="eastAsia" w:ascii="宋体" w:hAnsi="宋体"/>
          <w:bCs/>
          <w:color w:val="000000"/>
          <w:szCs w:val="21"/>
          <w:highlight w:val="none"/>
        </w:rPr>
        <w:t>以EPC总承包方式建设</w:t>
      </w:r>
      <w:r>
        <w:rPr>
          <w:rFonts w:hint="eastAsia" w:ascii="宋体" w:hAnsi="宋体"/>
          <w:bCs/>
          <w:color w:val="000000"/>
          <w:szCs w:val="21"/>
          <w:highlight w:val="none"/>
          <w:lang w:eastAsia="zh-CN"/>
        </w:rPr>
        <w:t>开化县城市有机更新共同富裕建设项目安置地（一）基础及室外附属设施配套工程—高压配电工程</w:t>
      </w:r>
      <w:r>
        <w:rPr>
          <w:rFonts w:hint="eastAsia" w:ascii="宋体" w:hAnsi="宋体"/>
          <w:bCs/>
          <w:color w:val="000000"/>
          <w:szCs w:val="21"/>
          <w:highlight w:val="none"/>
        </w:rPr>
        <w:t>，包括施工图设计、施工，竣工验收工程缺陷责任期内的缺陷修复，保修期服务等。主要包括以下内容</w:t>
      </w:r>
      <w:r>
        <w:rPr>
          <w:rFonts w:hint="eastAsia" w:ascii="宋体" w:hAnsi="宋体"/>
          <w:bCs/>
          <w:color w:val="000000"/>
          <w:szCs w:val="21"/>
          <w:highlight w:val="none"/>
          <w:lang w:eastAsia="zh-CN"/>
        </w:rPr>
        <w:t>：</w:t>
      </w:r>
    </w:p>
    <w:p w14:paraId="5A8E32F9">
      <w:pPr>
        <w:keepNext w:val="0"/>
        <w:keepLines w:val="0"/>
        <w:pageBreakBefore w:val="0"/>
        <w:kinsoku/>
        <w:wordWrap/>
        <w:overflowPunct/>
        <w:bidi w:val="0"/>
        <w:spacing w:line="400" w:lineRule="exact"/>
        <w:ind w:firstLine="420" w:firstLineChars="200"/>
        <w:textAlignment w:val="auto"/>
        <w:rPr>
          <w:rFonts w:hint="eastAsia" w:ascii="宋体" w:hAnsi="宋体"/>
          <w:bCs/>
          <w:color w:val="000000"/>
          <w:szCs w:val="21"/>
          <w:highlight w:val="none"/>
        </w:rPr>
      </w:pPr>
      <w:r>
        <w:rPr>
          <w:rFonts w:hint="eastAsia" w:ascii="宋体" w:hAnsi="宋体"/>
          <w:bCs/>
          <w:color w:val="000000"/>
          <w:szCs w:val="21"/>
          <w:highlight w:val="none"/>
        </w:rPr>
        <w:t>①设计：包括根据招标人要求，完成本项目所有专业施工图设计、配合施工图图审、设计文件报审报批及施工阶段服务等内容，以及各阶段、各部门审批提出的设计文件的修改和施工过程中招标人提出的变更设计等内容。</w:t>
      </w:r>
    </w:p>
    <w:p w14:paraId="4141F5BB">
      <w:pPr>
        <w:keepNext w:val="0"/>
        <w:keepLines w:val="0"/>
        <w:pageBreakBefore w:val="0"/>
        <w:kinsoku/>
        <w:wordWrap/>
        <w:overflowPunct/>
        <w:bidi w:val="0"/>
        <w:spacing w:line="400" w:lineRule="exact"/>
        <w:ind w:firstLine="420" w:firstLineChars="200"/>
        <w:textAlignment w:val="auto"/>
        <w:rPr>
          <w:rFonts w:hint="eastAsia" w:ascii="宋体" w:hAnsi="宋体"/>
          <w:bCs/>
          <w:color w:val="000000"/>
          <w:szCs w:val="21"/>
          <w:highlight w:val="none"/>
        </w:rPr>
      </w:pPr>
      <w:r>
        <w:rPr>
          <w:rFonts w:hint="eastAsia" w:ascii="宋体" w:hAnsi="宋体"/>
          <w:bCs/>
          <w:color w:val="000000"/>
          <w:szCs w:val="21"/>
          <w:highlight w:val="none"/>
        </w:rPr>
        <w:t>②采购：包括本项目所涉及的设施设备材料采购、运输、保管、安装及调试（试运行）、移交以及质保期内的保修服务等。</w:t>
      </w:r>
    </w:p>
    <w:p w14:paraId="0853E5F6">
      <w:pPr>
        <w:keepNext w:val="0"/>
        <w:keepLines w:val="0"/>
        <w:pageBreakBefore w:val="0"/>
        <w:kinsoku/>
        <w:wordWrap/>
        <w:overflowPunct/>
        <w:bidi w:val="0"/>
        <w:spacing w:line="400" w:lineRule="exact"/>
        <w:ind w:firstLine="420" w:firstLineChars="200"/>
        <w:textAlignment w:val="auto"/>
        <w:rPr>
          <w:rFonts w:hint="eastAsia" w:ascii="宋体" w:hAnsi="宋体"/>
          <w:bCs/>
          <w:color w:val="000000"/>
          <w:szCs w:val="21"/>
          <w:highlight w:val="none"/>
          <w:lang w:eastAsia="zh-CN"/>
        </w:rPr>
      </w:pPr>
      <w:r>
        <w:rPr>
          <w:rFonts w:hint="eastAsia" w:ascii="宋体" w:hAnsi="宋体"/>
          <w:bCs/>
          <w:color w:val="000000"/>
          <w:szCs w:val="21"/>
          <w:highlight w:val="none"/>
        </w:rPr>
        <w:t>③施工：</w:t>
      </w:r>
      <w:r>
        <w:rPr>
          <w:rFonts w:hint="eastAsia" w:ascii="宋体" w:hAnsi="宋体"/>
          <w:bCs/>
          <w:color w:val="000000"/>
          <w:szCs w:val="21"/>
          <w:highlight w:val="none"/>
          <w:lang w:eastAsia="zh-CN"/>
        </w:rPr>
        <w:t>主要</w:t>
      </w:r>
      <w:r>
        <w:rPr>
          <w:rFonts w:hint="eastAsia" w:ascii="宋体" w:hAnsi="宋体"/>
          <w:bCs/>
          <w:color w:val="000000"/>
          <w:szCs w:val="21"/>
          <w:highlight w:val="none"/>
        </w:rPr>
        <w:t>建设内容包括安装配电箱、电缆、电力管网及供配电线路设备等电力所属工程施工内容</w:t>
      </w:r>
      <w:r>
        <w:rPr>
          <w:rFonts w:hint="eastAsia" w:ascii="宋体" w:hAnsi="宋体"/>
          <w:bCs/>
          <w:color w:val="000000"/>
          <w:szCs w:val="21"/>
          <w:highlight w:val="none"/>
          <w:lang w:eastAsia="zh-CN"/>
        </w:rPr>
        <w:t>。</w:t>
      </w:r>
      <w:r>
        <w:rPr>
          <w:rFonts w:hint="eastAsia" w:ascii="宋体" w:hAnsi="宋体"/>
          <w:bCs/>
          <w:color w:val="000000"/>
          <w:szCs w:val="21"/>
          <w:highlight w:val="none"/>
        </w:rPr>
        <w:t>（具体详见招标人提供的图纸、工程量清单）</w:t>
      </w:r>
    </w:p>
    <w:p w14:paraId="58A815F4">
      <w:pPr>
        <w:keepNext w:val="0"/>
        <w:keepLines w:val="0"/>
        <w:pageBreakBefore w:val="0"/>
        <w:kinsoku/>
        <w:wordWrap/>
        <w:overflowPunct/>
        <w:bidi w:val="0"/>
        <w:spacing w:line="400" w:lineRule="exact"/>
        <w:ind w:firstLine="420" w:firstLineChars="200"/>
        <w:textAlignment w:val="auto"/>
        <w:rPr>
          <w:color w:val="000000"/>
          <w:szCs w:val="21"/>
          <w:highlight w:val="none"/>
          <w:u w:val="single"/>
        </w:rPr>
      </w:pPr>
      <w:r>
        <w:rPr>
          <w:rFonts w:hint="eastAsia" w:ascii="宋体" w:hAnsi="宋体"/>
          <w:bCs/>
          <w:color w:val="000000"/>
          <w:szCs w:val="21"/>
          <w:highlight w:val="none"/>
          <w:lang w:val="zh-CN"/>
        </w:rPr>
        <w:t>④总承包管理和服务内容：包括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p>
    <w:p w14:paraId="52E14AEB">
      <w:pPr>
        <w:keepNext w:val="0"/>
        <w:keepLines w:val="0"/>
        <w:pageBreakBefore w:val="0"/>
        <w:kinsoku/>
        <w:wordWrap/>
        <w:overflowPunct/>
        <w:bidi w:val="0"/>
        <w:spacing w:line="400" w:lineRule="exact"/>
        <w:textAlignment w:val="auto"/>
        <w:rPr>
          <w:highlight w:val="none"/>
        </w:rPr>
      </w:pPr>
      <w:r>
        <w:rPr>
          <w:rFonts w:hint="eastAsia"/>
          <w:highlight w:val="none"/>
        </w:rPr>
        <w:t xml:space="preserve">    </w:t>
      </w:r>
      <w:r>
        <w:rPr>
          <w:highlight w:val="none"/>
        </w:rPr>
        <w:t>二、合同工期</w:t>
      </w:r>
    </w:p>
    <w:p w14:paraId="7B6E943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计划开始工作日期：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1D39ED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计划开始现场施工日期：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1A5CE1E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1B3E91A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计划招标工期</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r>
        <w:rPr>
          <w:rFonts w:hint="eastAsia" w:ascii="宋体" w:hAnsi="宋体"/>
          <w:b w:val="0"/>
          <w:bCs w:val="0"/>
          <w:color w:val="auto"/>
          <w:szCs w:val="21"/>
          <w:highlight w:val="none"/>
          <w:lang w:eastAsia="zh-CN"/>
        </w:rPr>
        <w:t>。</w:t>
      </w:r>
      <w:r>
        <w:rPr>
          <w:rFonts w:hint="eastAsia" w:ascii="宋体" w:hAnsi="宋体" w:eastAsia="宋体" w:cs="宋体"/>
          <w:sz w:val="21"/>
          <w:szCs w:val="21"/>
          <w:highlight w:val="none"/>
        </w:rPr>
        <w:t>工期总日历天数与根据前述计划日期计算的工期天数不一致的，以工期总日历天数为准。</w:t>
      </w:r>
    </w:p>
    <w:p w14:paraId="03089705">
      <w:pPr>
        <w:keepNext w:val="0"/>
        <w:keepLines w:val="0"/>
        <w:pageBreakBefore w:val="0"/>
        <w:kinsoku/>
        <w:wordWrap/>
        <w:overflowPunct/>
        <w:bidi w:val="0"/>
        <w:spacing w:line="400" w:lineRule="exact"/>
        <w:textAlignment w:val="auto"/>
        <w:rPr>
          <w:szCs w:val="22"/>
          <w:highlight w:val="none"/>
        </w:rPr>
      </w:pPr>
      <w:r>
        <w:rPr>
          <w:szCs w:val="22"/>
          <w:highlight w:val="none"/>
        </w:rPr>
        <w:t xml:space="preserve">    三、质量标准</w:t>
      </w:r>
    </w:p>
    <w:p w14:paraId="7EFDBA58">
      <w:pPr>
        <w:pStyle w:val="63"/>
        <w:keepNext w:val="0"/>
        <w:keepLines w:val="0"/>
        <w:pageBreakBefore w:val="0"/>
        <w:kinsoku/>
        <w:wordWrap/>
        <w:overflowPunct/>
        <w:topLinePunct w:val="0"/>
        <w:autoSpaceDE/>
        <w:autoSpaceDN/>
        <w:bidi w:val="0"/>
        <w:spacing w:after="0" w:afterLines="0" w:line="400" w:lineRule="exact"/>
        <w:ind w:firstLine="422" w:firstLineChars="200"/>
        <w:textAlignment w:val="auto"/>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1、设计质量标准：满足国家、行业及地方现行技术标准、设计规范及设计图纸的要求（满足合同签订时最新设计标准）。</w:t>
      </w:r>
    </w:p>
    <w:p w14:paraId="137A251B">
      <w:pPr>
        <w:pStyle w:val="63"/>
        <w:keepNext w:val="0"/>
        <w:keepLines w:val="0"/>
        <w:pageBreakBefore w:val="0"/>
        <w:kinsoku/>
        <w:wordWrap/>
        <w:overflowPunct/>
        <w:topLinePunct w:val="0"/>
        <w:autoSpaceDE/>
        <w:autoSpaceDN/>
        <w:bidi w:val="0"/>
        <w:spacing w:after="0" w:afterLines="0" w:line="400" w:lineRule="exact"/>
        <w:ind w:firstLine="422" w:firstLineChars="200"/>
        <w:textAlignment w:val="auto"/>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2、工程所有物资（设备） 采购质量标准：符合招标文件、设计图纸及有关标准、规范的要求。</w:t>
      </w:r>
    </w:p>
    <w:p w14:paraId="78511A08">
      <w:pPr>
        <w:keepNext w:val="0"/>
        <w:keepLines w:val="0"/>
        <w:pageBreakBefore w:val="0"/>
        <w:kinsoku/>
        <w:wordWrap/>
        <w:overflowPunct/>
        <w:topLinePunct w:val="0"/>
        <w:autoSpaceDE/>
        <w:autoSpaceDN/>
        <w:bidi w:val="0"/>
        <w:spacing w:line="400" w:lineRule="exact"/>
        <w:ind w:firstLine="422" w:firstLineChars="200"/>
        <w:textAlignment w:val="auto"/>
        <w:rPr>
          <w:b/>
          <w:bCs/>
          <w:highlight w:val="yellow"/>
        </w:rPr>
      </w:pPr>
      <w:r>
        <w:rPr>
          <w:rFonts w:hint="eastAsia" w:ascii="宋体" w:hAnsi="宋体" w:eastAsia="宋体" w:cs="Times New Roman"/>
          <w:b/>
          <w:bCs/>
          <w:color w:val="auto"/>
          <w:kern w:val="2"/>
          <w:sz w:val="21"/>
          <w:szCs w:val="21"/>
          <w:highlight w:val="none"/>
          <w:lang w:val="en-US" w:eastAsia="zh-CN" w:bidi="ar-SA"/>
        </w:rPr>
        <w:t>3、施工质量标准：符合国家、行业及地方现行建设工程施工质量验收规范和标准及施工图纸要求，一次性验收合格。</w:t>
      </w:r>
    </w:p>
    <w:p w14:paraId="6C0CB139">
      <w:pPr>
        <w:keepNext w:val="0"/>
        <w:keepLines w:val="0"/>
        <w:pageBreakBefore w:val="0"/>
        <w:kinsoku/>
        <w:wordWrap/>
        <w:overflowPunct/>
        <w:bidi w:val="0"/>
        <w:spacing w:line="400" w:lineRule="exact"/>
        <w:textAlignment w:val="auto"/>
        <w:rPr>
          <w:szCs w:val="22"/>
          <w:highlight w:val="none"/>
        </w:rPr>
      </w:pPr>
      <w:r>
        <w:rPr>
          <w:szCs w:val="22"/>
          <w:highlight w:val="none"/>
        </w:rPr>
        <w:t xml:space="preserve">    四、签约合同价与合同价格形式</w:t>
      </w:r>
    </w:p>
    <w:p w14:paraId="7C2A73E8">
      <w:pPr>
        <w:keepNext w:val="0"/>
        <w:keepLines w:val="0"/>
        <w:pageBreakBefore w:val="0"/>
        <w:kinsoku/>
        <w:wordWrap/>
        <w:overflowPunct/>
        <w:bidi w:val="0"/>
        <w:spacing w:line="400" w:lineRule="exact"/>
        <w:ind w:firstLine="420" w:firstLineChars="200"/>
        <w:textAlignment w:val="auto"/>
        <w:rPr>
          <w:rFonts w:ascii="宋体" w:hAnsi="宋体"/>
          <w:szCs w:val="21"/>
          <w:highlight w:val="none"/>
        </w:rPr>
      </w:pPr>
      <w:r>
        <w:rPr>
          <w:rFonts w:ascii="宋体" w:hAnsi="宋体"/>
          <w:szCs w:val="21"/>
          <w:highlight w:val="none"/>
        </w:rPr>
        <w:t>1.签约合同价为：</w:t>
      </w:r>
    </w:p>
    <w:p w14:paraId="69C17A70">
      <w:pPr>
        <w:keepNext w:val="0"/>
        <w:keepLines w:val="0"/>
        <w:pageBreakBefore w:val="0"/>
        <w:kinsoku/>
        <w:wordWrap/>
        <w:overflowPunct/>
        <w:bidi w:val="0"/>
        <w:spacing w:line="400" w:lineRule="exact"/>
        <w:ind w:firstLine="420" w:firstLineChars="200"/>
        <w:textAlignment w:val="auto"/>
        <w:rPr>
          <w:rFonts w:ascii="宋体" w:hAnsi="宋体"/>
          <w:szCs w:val="21"/>
          <w:highlight w:val="none"/>
        </w:rPr>
      </w:pPr>
      <w:r>
        <w:rPr>
          <w:rFonts w:ascii="宋体" w:hAnsi="宋体"/>
          <w:szCs w:val="21"/>
          <w:highlight w:val="none"/>
        </w:rPr>
        <w:t>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元)；</w:t>
      </w:r>
    </w:p>
    <w:p w14:paraId="790DF019">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具体构成详见价格清单。其中： </w:t>
      </w:r>
    </w:p>
    <w:p w14:paraId="6AA4A55D">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 设计费（含税）：</w:t>
      </w:r>
    </w:p>
    <w:p w14:paraId="364AF925">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元）；适用税率：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%，税金为人民币（大写)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w:t>
      </w:r>
    </w:p>
    <w:p w14:paraId="4514364C">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建筑</w:t>
      </w:r>
      <w:r>
        <w:rPr>
          <w:rFonts w:hint="eastAsia" w:ascii="宋体" w:hAnsi="宋体" w:cs="宋体"/>
          <w:color w:val="auto"/>
          <w:szCs w:val="21"/>
          <w:highlight w:val="none"/>
        </w:rPr>
        <w:t>安装工程费（含税）：</w:t>
      </w:r>
    </w:p>
    <w:p w14:paraId="06759A50">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元）；适用税率：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%，税金为人民币（大写)          （¥        元）； </w:t>
      </w:r>
    </w:p>
    <w:p w14:paraId="747DDB4C">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 暂估价（含税）：</w:t>
      </w:r>
    </w:p>
    <w:p w14:paraId="65BD0C94">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人民币（大写)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64E9A1AB">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（5） 暂列金额（含税）：</w:t>
      </w:r>
    </w:p>
    <w:p w14:paraId="20689249">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人民币（大写)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4BC9DBBB">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 合同价格形式：</w:t>
      </w:r>
    </w:p>
    <w:p w14:paraId="49F6E5B1">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14.1.2.1本次招标的项目工程结算价由设计费、</w:t>
      </w:r>
      <w:r>
        <w:rPr>
          <w:rFonts w:hint="eastAsia" w:ascii="宋体" w:hAnsi="宋体" w:cs="宋体"/>
          <w:color w:val="auto"/>
          <w:szCs w:val="21"/>
          <w:highlight w:val="none"/>
          <w:lang w:val="en-US" w:eastAsia="zh-CN"/>
        </w:rPr>
        <w:t>建筑</w:t>
      </w:r>
      <w:r>
        <w:rPr>
          <w:rFonts w:hint="eastAsia" w:ascii="宋体" w:hAnsi="宋体" w:cs="宋体"/>
          <w:color w:val="auto"/>
          <w:szCs w:val="21"/>
          <w:highlight w:val="none"/>
        </w:rPr>
        <w:t>安装工程费</w:t>
      </w:r>
      <w:r>
        <w:rPr>
          <w:rFonts w:hint="eastAsia"/>
          <w:color w:val="auto"/>
          <w:spacing w:val="-8"/>
          <w:highlight w:val="none"/>
          <w:lang w:eastAsia="zh-CN"/>
        </w:rPr>
        <w:t>两</w:t>
      </w:r>
      <w:r>
        <w:rPr>
          <w:rFonts w:hint="eastAsia" w:ascii="宋体" w:hAnsi="宋体" w:cs="宋体"/>
          <w:color w:val="auto"/>
          <w:szCs w:val="21"/>
          <w:highlight w:val="none"/>
        </w:rPr>
        <w:t>部分组成。</w:t>
      </w:r>
    </w:p>
    <w:p w14:paraId="3FC411D4">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14.1.2.2 设计费：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万元，总价包干，竣工结算时不予调整。 </w:t>
      </w:r>
    </w:p>
    <w:p w14:paraId="45372282">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s="宋体"/>
          <w:b/>
          <w:bCs/>
          <w:color w:val="auto"/>
          <w:szCs w:val="21"/>
          <w:highlight w:val="none"/>
        </w:rPr>
      </w:pPr>
      <w:r>
        <w:rPr>
          <w:rFonts w:hint="eastAsia" w:ascii="宋体" w:hAnsi="宋体" w:cs="宋体"/>
          <w:color w:val="auto"/>
          <w:szCs w:val="21"/>
          <w:highlight w:val="none"/>
        </w:rPr>
        <w:t xml:space="preserve">14.1.2.3 </w:t>
      </w:r>
      <w:r>
        <w:rPr>
          <w:rFonts w:hint="eastAsia" w:ascii="宋体" w:hAnsi="宋体" w:cs="宋体"/>
          <w:color w:val="auto"/>
          <w:szCs w:val="21"/>
          <w:highlight w:val="none"/>
          <w:lang w:val="en-US" w:eastAsia="zh-CN"/>
        </w:rPr>
        <w:t>建筑</w:t>
      </w:r>
      <w:r>
        <w:rPr>
          <w:rFonts w:hint="eastAsia" w:ascii="宋体" w:hAnsi="宋体" w:cs="宋体"/>
          <w:color w:val="auto"/>
          <w:szCs w:val="21"/>
          <w:highlight w:val="none"/>
        </w:rPr>
        <w:t>安装工程费：</w:t>
      </w:r>
      <w:r>
        <w:rPr>
          <w:rFonts w:hint="eastAsia" w:ascii="宋体" w:hAnsi="宋体" w:cs="宋体"/>
          <w:b/>
          <w:bCs/>
          <w:color w:val="auto"/>
          <w:szCs w:val="21"/>
          <w:highlight w:val="none"/>
        </w:rPr>
        <w:t>采用固定总价方式，以本项目发布的初步设计图纸及技术规范为最低建设标准，中标后，施工图图纸完成后需经相关部门审核通过。由于施工图优化而产生的工程造价增加，竣工结算时不予调整。</w:t>
      </w:r>
    </w:p>
    <w:p w14:paraId="53F01CE8">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szCs w:val="22"/>
          <w:highlight w:val="none"/>
        </w:rPr>
      </w:pPr>
      <w:r>
        <w:rPr>
          <w:szCs w:val="22"/>
          <w:highlight w:val="none"/>
        </w:rPr>
        <w:t>五、</w:t>
      </w:r>
      <w:r>
        <w:rPr>
          <w:rFonts w:hint="eastAsia" w:cs="宋体"/>
          <w:b w:val="0"/>
          <w:bCs/>
          <w:color w:val="auto"/>
          <w:sz w:val="21"/>
          <w:szCs w:val="21"/>
          <w:highlight w:val="none"/>
        </w:rPr>
        <w:t>工程总承包</w:t>
      </w:r>
      <w:r>
        <w:rPr>
          <w:szCs w:val="22"/>
          <w:highlight w:val="none"/>
        </w:rPr>
        <w:t>项目经理</w:t>
      </w:r>
    </w:p>
    <w:p w14:paraId="224E3410">
      <w:pPr>
        <w:keepNext w:val="0"/>
        <w:keepLines w:val="0"/>
        <w:pageBreakBefore w:val="0"/>
        <w:kinsoku/>
        <w:wordWrap/>
        <w:overflowPunct/>
        <w:bidi w:val="0"/>
        <w:spacing w:line="400" w:lineRule="exact"/>
        <w:ind w:firstLine="420" w:firstLineChars="200"/>
        <w:textAlignment w:val="auto"/>
        <w:rPr>
          <w:rFonts w:ascii="宋体" w:hAnsi="宋体"/>
          <w:szCs w:val="21"/>
          <w:highlight w:val="none"/>
        </w:rPr>
      </w:pPr>
      <w:r>
        <w:rPr>
          <w:rFonts w:hint="eastAsia" w:cs="宋体"/>
          <w:b w:val="0"/>
          <w:bCs/>
          <w:color w:val="auto"/>
          <w:sz w:val="21"/>
          <w:szCs w:val="21"/>
          <w:highlight w:val="none"/>
        </w:rPr>
        <w:t>工程总承包</w:t>
      </w:r>
      <w:r>
        <w:rPr>
          <w:rFonts w:ascii="宋体" w:hAnsi="宋体"/>
          <w:szCs w:val="21"/>
          <w:highlight w:val="none"/>
        </w:rPr>
        <w:t>项目经理：</w:t>
      </w:r>
      <w:r>
        <w:rPr>
          <w:rFonts w:hint="eastAsia" w:ascii="宋体" w:hAnsi="宋体"/>
          <w:szCs w:val="21"/>
          <w:highlight w:val="none"/>
          <w:u w:val="single"/>
        </w:rPr>
        <w:t xml:space="preserve">                                               </w:t>
      </w:r>
      <w:r>
        <w:rPr>
          <w:rFonts w:ascii="宋体" w:hAnsi="宋体"/>
          <w:szCs w:val="21"/>
          <w:highlight w:val="none"/>
        </w:rPr>
        <w:t>。</w:t>
      </w:r>
    </w:p>
    <w:p w14:paraId="2E8C2165">
      <w:pPr>
        <w:keepNext w:val="0"/>
        <w:keepLines w:val="0"/>
        <w:pageBreakBefore w:val="0"/>
        <w:kinsoku/>
        <w:wordWrap/>
        <w:overflowPunct/>
        <w:bidi w:val="0"/>
        <w:spacing w:line="400" w:lineRule="exact"/>
        <w:ind w:firstLine="420" w:firstLineChars="200"/>
        <w:textAlignment w:val="auto"/>
        <w:rPr>
          <w:szCs w:val="22"/>
          <w:highlight w:val="none"/>
        </w:rPr>
      </w:pPr>
      <w:r>
        <w:rPr>
          <w:szCs w:val="22"/>
          <w:highlight w:val="none"/>
        </w:rPr>
        <w:t>六、合同文件构成</w:t>
      </w:r>
    </w:p>
    <w:p w14:paraId="0BF9BD87">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本协议书与下列文件一起构成合同文件：</w:t>
      </w:r>
    </w:p>
    <w:p w14:paraId="7EC7E610">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（1） 中标通知书（如果有）；</w:t>
      </w:r>
    </w:p>
    <w:p w14:paraId="641F30F0">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（2） 投标函及投标函附录（如果有）；</w:t>
      </w:r>
    </w:p>
    <w:p w14:paraId="137C3613">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（3） 专用合同条件及《发包人要求》等附件；</w:t>
      </w:r>
    </w:p>
    <w:p w14:paraId="6B9305D5">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（4） 通用合同条件；</w:t>
      </w:r>
    </w:p>
    <w:p w14:paraId="1BE42B90">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 承包人建议书（如果有）； </w:t>
      </w:r>
    </w:p>
    <w:p w14:paraId="48EFC56C">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（6） 价格清单；</w:t>
      </w:r>
    </w:p>
    <w:p w14:paraId="6CB55A73">
      <w:pPr>
        <w:spacing w:line="360" w:lineRule="atLeast"/>
        <w:ind w:firstLine="420" w:firstLineChars="200"/>
        <w:rPr>
          <w:rFonts w:ascii="宋体" w:hAnsi="宋体" w:cs="宋体"/>
          <w:color w:val="auto"/>
          <w:szCs w:val="21"/>
          <w:highlight w:val="none"/>
        </w:rPr>
      </w:pPr>
      <w:r>
        <w:rPr>
          <w:rFonts w:hint="eastAsia" w:ascii="宋体" w:hAnsi="宋体" w:cs="宋体"/>
          <w:color w:val="auto"/>
          <w:szCs w:val="21"/>
          <w:highlight w:val="none"/>
        </w:rPr>
        <w:t>（7） 双方约定的其他合同文件。</w:t>
      </w:r>
    </w:p>
    <w:p w14:paraId="1F7E4307">
      <w:pPr>
        <w:keepNext w:val="0"/>
        <w:keepLines w:val="0"/>
        <w:pageBreakBefore w:val="0"/>
        <w:kinsoku/>
        <w:wordWrap/>
        <w:overflowPunct/>
        <w:bidi w:val="0"/>
        <w:spacing w:line="400" w:lineRule="exact"/>
        <w:ind w:firstLine="420" w:firstLineChars="200"/>
        <w:textAlignment w:val="auto"/>
        <w:rPr>
          <w:rFonts w:hint="eastAsia"/>
          <w:szCs w:val="22"/>
          <w:highlight w:val="none"/>
          <w:lang w:val="en-US" w:eastAsia="zh-CN"/>
        </w:rPr>
      </w:pPr>
      <w:r>
        <w:rPr>
          <w:rFonts w:hint="eastAsia"/>
          <w:szCs w:val="22"/>
          <w:highlight w:val="none"/>
          <w:lang w:val="en-US" w:eastAsia="en-US"/>
        </w:rPr>
        <w:t>上述各项合同文件包括双方就该项合同文件所作出的补充和修改，属于同一类内容的合同文件应以最新签署的为准。专用合同条件及其附件须经合同当事人签字或盖章。</w:t>
      </w:r>
    </w:p>
    <w:p w14:paraId="22E9C621">
      <w:pPr>
        <w:keepNext w:val="0"/>
        <w:keepLines w:val="0"/>
        <w:pageBreakBefore w:val="0"/>
        <w:kinsoku/>
        <w:wordWrap/>
        <w:overflowPunct/>
        <w:bidi w:val="0"/>
        <w:spacing w:line="400" w:lineRule="exact"/>
        <w:ind w:firstLine="420" w:firstLineChars="200"/>
        <w:textAlignment w:val="auto"/>
        <w:rPr>
          <w:szCs w:val="22"/>
          <w:highlight w:val="none"/>
        </w:rPr>
      </w:pPr>
      <w:r>
        <w:rPr>
          <w:szCs w:val="22"/>
          <w:highlight w:val="none"/>
        </w:rPr>
        <w:t>七、承诺</w:t>
      </w:r>
    </w:p>
    <w:p w14:paraId="561B5F04">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1.发包人承诺按照法律规定履行项目审批手续、筹集工程建设资金并按照合同约定的期限和方式支付合同价款。</w:t>
      </w:r>
    </w:p>
    <w:p w14:paraId="69B5F97A">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hint="eastAsia" w:ascii="宋体" w:hAnsi="宋体"/>
          <w:bCs/>
          <w:szCs w:val="21"/>
          <w:highlight w:val="none"/>
        </w:rPr>
        <w:t>2.承包人</w:t>
      </w:r>
      <w:r>
        <w:rPr>
          <w:rFonts w:hint="eastAsia"/>
          <w:szCs w:val="22"/>
          <w:highlight w:val="none"/>
        </w:rPr>
        <w:t>承诺按照法律规定及合同约定组织完成工程的设计、采购和施工等工作，确保工程质量和安全，不进行转包及违法分包，并在缺陷责任期及保修期内承担相应的工程维修责任。</w:t>
      </w:r>
    </w:p>
    <w:p w14:paraId="02D579AD">
      <w:pPr>
        <w:keepNext w:val="0"/>
        <w:keepLines w:val="0"/>
        <w:pageBreakBefore w:val="0"/>
        <w:kinsoku/>
        <w:wordWrap/>
        <w:overflowPunct/>
        <w:bidi w:val="0"/>
        <w:spacing w:line="400" w:lineRule="exact"/>
        <w:ind w:firstLine="420" w:firstLineChars="200"/>
        <w:textAlignment w:val="auto"/>
        <w:rPr>
          <w:szCs w:val="22"/>
          <w:highlight w:val="none"/>
        </w:rPr>
      </w:pPr>
      <w:r>
        <w:rPr>
          <w:rFonts w:hint="eastAsia"/>
          <w:szCs w:val="22"/>
          <w:highlight w:val="none"/>
          <w:lang w:eastAsia="zh-CN"/>
        </w:rPr>
        <w:t>八</w:t>
      </w:r>
      <w:r>
        <w:rPr>
          <w:szCs w:val="22"/>
          <w:highlight w:val="none"/>
        </w:rPr>
        <w:t>、签订时间</w:t>
      </w:r>
    </w:p>
    <w:p w14:paraId="1DC7A29D">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本合同于</w:t>
      </w:r>
      <w:r>
        <w:rPr>
          <w:rFonts w:ascii="宋体" w:hAnsi="宋体"/>
          <w:bCs/>
          <w:szCs w:val="21"/>
          <w:highlight w:val="none"/>
          <w:u w:val="single"/>
        </w:rPr>
        <w:t xml:space="preserve">         </w:t>
      </w:r>
      <w:r>
        <w:rPr>
          <w:rFonts w:ascii="宋体" w:hAnsi="宋体"/>
          <w:bCs/>
          <w:szCs w:val="21"/>
          <w:highlight w:val="none"/>
        </w:rPr>
        <w:t>年</w:t>
      </w:r>
      <w:r>
        <w:rPr>
          <w:rFonts w:ascii="宋体" w:hAnsi="宋体"/>
          <w:bCs/>
          <w:szCs w:val="21"/>
          <w:highlight w:val="none"/>
          <w:u w:val="single"/>
        </w:rPr>
        <w:t xml:space="preserve">     </w:t>
      </w:r>
      <w:r>
        <w:rPr>
          <w:rFonts w:ascii="宋体" w:hAnsi="宋体"/>
          <w:bCs/>
          <w:szCs w:val="21"/>
          <w:highlight w:val="none"/>
        </w:rPr>
        <w:t>月</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日签订。</w:t>
      </w:r>
    </w:p>
    <w:p w14:paraId="08288290">
      <w:pPr>
        <w:keepNext w:val="0"/>
        <w:keepLines w:val="0"/>
        <w:pageBreakBefore w:val="0"/>
        <w:kinsoku/>
        <w:wordWrap/>
        <w:overflowPunct/>
        <w:bidi w:val="0"/>
        <w:spacing w:line="400" w:lineRule="exact"/>
        <w:ind w:firstLine="420" w:firstLineChars="200"/>
        <w:textAlignment w:val="auto"/>
        <w:rPr>
          <w:szCs w:val="22"/>
          <w:highlight w:val="none"/>
        </w:rPr>
      </w:pPr>
      <w:r>
        <w:rPr>
          <w:rFonts w:hint="eastAsia"/>
          <w:szCs w:val="22"/>
          <w:highlight w:val="none"/>
          <w:lang w:eastAsia="zh-CN"/>
        </w:rPr>
        <w:t>九</w:t>
      </w:r>
      <w:r>
        <w:rPr>
          <w:szCs w:val="22"/>
          <w:highlight w:val="none"/>
        </w:rPr>
        <w:t>、</w:t>
      </w:r>
      <w:r>
        <w:rPr>
          <w:rFonts w:hint="eastAsia"/>
          <w:szCs w:val="22"/>
          <w:highlight w:val="none"/>
        </w:rPr>
        <w:t>订立地点</w:t>
      </w:r>
    </w:p>
    <w:p w14:paraId="470C1FF5">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本合同在</w:t>
      </w:r>
      <w:r>
        <w:rPr>
          <w:rFonts w:ascii="宋体" w:hAnsi="宋体"/>
          <w:bCs/>
          <w:szCs w:val="21"/>
          <w:highlight w:val="none"/>
          <w:u w:val="single"/>
        </w:rPr>
        <w:t xml:space="preserve">                                    </w:t>
      </w:r>
      <w:r>
        <w:rPr>
          <w:rFonts w:ascii="宋体" w:hAnsi="宋体"/>
          <w:bCs/>
          <w:szCs w:val="21"/>
          <w:highlight w:val="none"/>
        </w:rPr>
        <w:t>签订。</w:t>
      </w:r>
    </w:p>
    <w:p w14:paraId="6AEAB067">
      <w:pPr>
        <w:keepNext w:val="0"/>
        <w:keepLines w:val="0"/>
        <w:pageBreakBefore w:val="0"/>
        <w:kinsoku/>
        <w:wordWrap/>
        <w:overflowPunct/>
        <w:bidi w:val="0"/>
        <w:spacing w:line="400" w:lineRule="exact"/>
        <w:ind w:firstLine="420" w:firstLineChars="200"/>
        <w:textAlignment w:val="auto"/>
        <w:rPr>
          <w:szCs w:val="22"/>
          <w:highlight w:val="none"/>
        </w:rPr>
      </w:pPr>
      <w:r>
        <w:rPr>
          <w:szCs w:val="22"/>
          <w:highlight w:val="none"/>
        </w:rPr>
        <w:t>十、</w:t>
      </w:r>
      <w:r>
        <w:rPr>
          <w:rFonts w:hint="eastAsia"/>
          <w:szCs w:val="22"/>
          <w:highlight w:val="none"/>
        </w:rPr>
        <w:t>合同生效</w:t>
      </w:r>
    </w:p>
    <w:p w14:paraId="6A00A152">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本合同自</w:t>
      </w:r>
      <w:r>
        <w:rPr>
          <w:rFonts w:ascii="宋体" w:hAnsi="宋体"/>
          <w:bCs/>
          <w:szCs w:val="21"/>
          <w:highlight w:val="none"/>
          <w:u w:val="single"/>
        </w:rPr>
        <w:t xml:space="preserve">                                   </w:t>
      </w:r>
      <w:r>
        <w:rPr>
          <w:rFonts w:ascii="宋体" w:hAnsi="宋体"/>
          <w:bCs/>
          <w:szCs w:val="21"/>
          <w:highlight w:val="none"/>
        </w:rPr>
        <w:t>生效。</w:t>
      </w:r>
    </w:p>
    <w:p w14:paraId="1BFDF729">
      <w:pPr>
        <w:keepNext w:val="0"/>
        <w:keepLines w:val="0"/>
        <w:pageBreakBefore w:val="0"/>
        <w:kinsoku/>
        <w:wordWrap/>
        <w:overflowPunct/>
        <w:bidi w:val="0"/>
        <w:spacing w:line="400" w:lineRule="exact"/>
        <w:ind w:firstLine="420" w:firstLineChars="200"/>
        <w:textAlignment w:val="auto"/>
        <w:rPr>
          <w:szCs w:val="22"/>
          <w:highlight w:val="none"/>
        </w:rPr>
      </w:pPr>
      <w:r>
        <w:rPr>
          <w:szCs w:val="22"/>
          <w:highlight w:val="none"/>
        </w:rPr>
        <w:t>十</w:t>
      </w:r>
      <w:r>
        <w:rPr>
          <w:rFonts w:hint="eastAsia"/>
          <w:szCs w:val="22"/>
          <w:highlight w:val="none"/>
          <w:lang w:eastAsia="zh-CN"/>
        </w:rPr>
        <w:t>一</w:t>
      </w:r>
      <w:r>
        <w:rPr>
          <w:szCs w:val="22"/>
          <w:highlight w:val="none"/>
        </w:rPr>
        <w:t>、合同份数</w:t>
      </w:r>
    </w:p>
    <w:p w14:paraId="01E89032">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r>
        <w:rPr>
          <w:rFonts w:ascii="宋体" w:hAnsi="宋体"/>
          <w:bCs/>
          <w:szCs w:val="21"/>
          <w:highlight w:val="none"/>
        </w:rPr>
        <w:t>本合同一式</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份，均具有同等法律效力，发包人执</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份，承包人执</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ascii="宋体" w:hAnsi="宋体"/>
          <w:bCs/>
          <w:szCs w:val="21"/>
          <w:highlight w:val="none"/>
        </w:rPr>
        <w:t>份。</w:t>
      </w:r>
    </w:p>
    <w:p w14:paraId="0818AF93">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p>
    <w:p w14:paraId="330BFEED">
      <w:pPr>
        <w:keepNext w:val="0"/>
        <w:keepLines w:val="0"/>
        <w:pageBreakBefore w:val="0"/>
        <w:kinsoku/>
        <w:wordWrap/>
        <w:overflowPunct/>
        <w:bidi w:val="0"/>
        <w:spacing w:line="400" w:lineRule="exact"/>
        <w:ind w:firstLine="420" w:firstLineChars="200"/>
        <w:textAlignment w:val="auto"/>
        <w:rPr>
          <w:rFonts w:ascii="宋体" w:hAnsi="宋体"/>
          <w:bCs/>
          <w:szCs w:val="21"/>
          <w:highlight w:val="none"/>
        </w:rPr>
      </w:pPr>
    </w:p>
    <w:p w14:paraId="43DA1D3D">
      <w:pPr>
        <w:keepNext w:val="0"/>
        <w:keepLines w:val="0"/>
        <w:pageBreakBefore w:val="0"/>
        <w:kinsoku/>
        <w:wordWrap/>
        <w:overflowPunct/>
        <w:bidi w:val="0"/>
        <w:spacing w:line="400" w:lineRule="exact"/>
        <w:textAlignment w:val="auto"/>
        <w:rPr>
          <w:rFonts w:hint="eastAsia" w:ascii="宋体" w:hAnsi="宋体"/>
          <w:bCs/>
          <w:szCs w:val="21"/>
          <w:highlight w:val="none"/>
          <w:lang w:eastAsia="zh-CN"/>
        </w:rPr>
      </w:pPr>
    </w:p>
    <w:p w14:paraId="2814AB2E">
      <w:pPr>
        <w:spacing w:line="400" w:lineRule="exact"/>
        <w:ind w:firstLine="420" w:firstLineChars="200"/>
        <w:rPr>
          <w:rFonts w:ascii="宋体" w:hAnsi="宋体"/>
          <w:szCs w:val="21"/>
          <w:highlight w:val="none"/>
        </w:rPr>
      </w:pPr>
      <w:r>
        <w:rPr>
          <w:rFonts w:ascii="宋体" w:hAnsi="宋体"/>
          <w:szCs w:val="21"/>
          <w:highlight w:val="none"/>
        </w:rPr>
        <w:t>发包人</w:t>
      </w:r>
      <w:r>
        <w:rPr>
          <w:rFonts w:hint="eastAsia" w:ascii="宋体" w:hAnsi="宋体"/>
          <w:szCs w:val="21"/>
          <w:highlight w:val="none"/>
        </w:rPr>
        <w:t>：</w:t>
      </w:r>
      <w:r>
        <w:rPr>
          <w:rFonts w:hint="eastAsia" w:ascii="宋体" w:hAnsi="宋体"/>
          <w:szCs w:val="21"/>
          <w:highlight w:val="none"/>
          <w:u w:val="single"/>
        </w:rPr>
        <w:t xml:space="preserve">                          </w:t>
      </w:r>
      <w:r>
        <w:rPr>
          <w:rFonts w:ascii="宋体" w:hAnsi="宋体"/>
          <w:szCs w:val="21"/>
          <w:highlight w:val="none"/>
        </w:rPr>
        <w:t>(公章)</w:t>
      </w:r>
      <w:r>
        <w:rPr>
          <w:rFonts w:hint="eastAsia" w:ascii="宋体" w:hAnsi="宋体"/>
          <w:szCs w:val="21"/>
          <w:highlight w:val="none"/>
        </w:rPr>
        <w:t xml:space="preserve">    </w:t>
      </w:r>
      <w:r>
        <w:rPr>
          <w:rFonts w:ascii="宋体" w:hAnsi="宋体"/>
          <w:szCs w:val="21"/>
          <w:highlight w:val="none"/>
        </w:rPr>
        <w:t>承包人</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(公章)</w:t>
      </w:r>
    </w:p>
    <w:p w14:paraId="6BAEDA4B">
      <w:pPr>
        <w:spacing w:line="400" w:lineRule="exact"/>
        <w:ind w:firstLine="420" w:firstLineChars="200"/>
        <w:rPr>
          <w:rFonts w:ascii="宋体" w:hAnsi="宋体"/>
          <w:szCs w:val="21"/>
          <w:highlight w:val="none"/>
        </w:rPr>
      </w:pPr>
      <w:r>
        <w:rPr>
          <w:rFonts w:hint="eastAsia" w:ascii="宋体" w:hAnsi="宋体"/>
          <w:szCs w:val="21"/>
          <w:highlight w:val="none"/>
        </w:rPr>
        <w:t>法定代表人                                  法定代表人</w:t>
      </w:r>
    </w:p>
    <w:p w14:paraId="617C223C">
      <w:pPr>
        <w:spacing w:line="400" w:lineRule="exact"/>
        <w:ind w:firstLine="420" w:firstLineChars="200"/>
        <w:rPr>
          <w:rFonts w:ascii="宋体" w:hAnsi="宋体"/>
          <w:szCs w:val="21"/>
          <w:highlight w:val="none"/>
        </w:rPr>
      </w:pPr>
      <w:r>
        <w:rPr>
          <w:rFonts w:hint="eastAsia" w:ascii="宋体" w:hAnsi="宋体"/>
          <w:szCs w:val="21"/>
          <w:highlight w:val="none"/>
        </w:rPr>
        <w:t>或其委托代理人：</w:t>
      </w:r>
      <w:r>
        <w:rPr>
          <w:rFonts w:hint="eastAsia" w:ascii="宋体" w:hAnsi="宋体"/>
          <w:szCs w:val="21"/>
          <w:highlight w:val="none"/>
          <w:u w:val="single"/>
        </w:rPr>
        <w:t xml:space="preserve">                 </w:t>
      </w:r>
      <w:r>
        <w:rPr>
          <w:rFonts w:hint="eastAsia" w:ascii="宋体" w:hAnsi="宋体"/>
          <w:szCs w:val="21"/>
          <w:highlight w:val="none"/>
        </w:rPr>
        <w:t>（签字）   或其委托代理人：</w:t>
      </w:r>
      <w:r>
        <w:rPr>
          <w:rFonts w:hint="eastAsia" w:ascii="宋体" w:hAnsi="宋体"/>
          <w:szCs w:val="21"/>
          <w:highlight w:val="none"/>
          <w:u w:val="single"/>
        </w:rPr>
        <w:t xml:space="preserve">               </w:t>
      </w:r>
      <w:r>
        <w:rPr>
          <w:rFonts w:hint="eastAsia" w:ascii="宋体" w:hAnsi="宋体"/>
          <w:szCs w:val="21"/>
          <w:highlight w:val="none"/>
        </w:rPr>
        <w:t>（签字）</w:t>
      </w:r>
    </w:p>
    <w:p w14:paraId="6ECCBEBC">
      <w:pPr>
        <w:spacing w:line="400" w:lineRule="exact"/>
        <w:ind w:firstLine="420" w:firstLineChars="200"/>
        <w:rPr>
          <w:rFonts w:ascii="宋体" w:hAnsi="宋体"/>
          <w:szCs w:val="21"/>
          <w:highlight w:val="none"/>
          <w:u w:val="single"/>
        </w:rPr>
      </w:pPr>
      <w:r>
        <w:rPr>
          <w:rFonts w:hint="eastAsia" w:ascii="宋体" w:hAnsi="宋体"/>
          <w:szCs w:val="21"/>
          <w:highlight w:val="none"/>
        </w:rPr>
        <w:t>统一社会信用代码：</w:t>
      </w:r>
      <w:r>
        <w:rPr>
          <w:rFonts w:hint="eastAsia" w:ascii="宋体" w:hAnsi="宋体"/>
          <w:szCs w:val="21"/>
          <w:highlight w:val="none"/>
          <w:u w:val="single"/>
        </w:rPr>
        <w:t xml:space="preserve">                          </w:t>
      </w:r>
      <w:r>
        <w:rPr>
          <w:rFonts w:hint="eastAsia" w:ascii="宋体" w:hAnsi="宋体"/>
          <w:szCs w:val="21"/>
          <w:highlight w:val="none"/>
        </w:rPr>
        <w:t>统一社会信用代码：</w:t>
      </w:r>
      <w:r>
        <w:rPr>
          <w:rFonts w:hint="eastAsia" w:ascii="宋体" w:hAnsi="宋体"/>
          <w:szCs w:val="21"/>
          <w:highlight w:val="none"/>
          <w:u w:val="single"/>
        </w:rPr>
        <w:t xml:space="preserve">                          </w:t>
      </w:r>
    </w:p>
    <w:p w14:paraId="0B188AA6">
      <w:pPr>
        <w:spacing w:line="400" w:lineRule="exact"/>
        <w:ind w:firstLine="420" w:firstLineChars="200"/>
        <w:rPr>
          <w:rFonts w:ascii="宋体" w:hAnsi="宋体"/>
          <w:szCs w:val="21"/>
          <w:highlight w:val="none"/>
          <w:u w:val="single"/>
        </w:rPr>
      </w:pPr>
      <w:r>
        <w:rPr>
          <w:rFonts w:hint="eastAsia" w:ascii="宋体" w:hAnsi="宋体"/>
          <w:szCs w:val="21"/>
          <w:highlight w:val="none"/>
        </w:rPr>
        <w:t xml:space="preserve">地    </w:t>
      </w:r>
      <w:r>
        <w:rPr>
          <w:rFonts w:ascii="宋体" w:hAnsi="宋体"/>
          <w:szCs w:val="21"/>
          <w:highlight w:val="none"/>
        </w:rPr>
        <w:t>址：</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 xml:space="preserve">地  </w:t>
      </w:r>
      <w:r>
        <w:rPr>
          <w:rFonts w:hint="eastAsia" w:ascii="宋体" w:hAnsi="宋体"/>
          <w:szCs w:val="21"/>
          <w:highlight w:val="none"/>
        </w:rPr>
        <w:t xml:space="preserve">  </w:t>
      </w:r>
      <w:r>
        <w:rPr>
          <w:rFonts w:ascii="宋体" w:hAnsi="宋体"/>
          <w:szCs w:val="21"/>
          <w:highlight w:val="none"/>
        </w:rPr>
        <w:t>址：</w:t>
      </w:r>
      <w:r>
        <w:rPr>
          <w:rFonts w:hint="eastAsia" w:ascii="宋体" w:hAnsi="宋体"/>
          <w:szCs w:val="21"/>
          <w:highlight w:val="none"/>
          <w:u w:val="single"/>
        </w:rPr>
        <w:t xml:space="preserve">                                                       </w:t>
      </w:r>
    </w:p>
    <w:p w14:paraId="61427291">
      <w:pPr>
        <w:spacing w:line="400" w:lineRule="exact"/>
        <w:ind w:firstLine="420" w:firstLineChars="200"/>
        <w:rPr>
          <w:rFonts w:ascii="宋体" w:hAnsi="宋体"/>
          <w:szCs w:val="21"/>
          <w:highlight w:val="none"/>
          <w:u w:val="single"/>
        </w:rPr>
      </w:pPr>
      <w:r>
        <w:rPr>
          <w:rFonts w:ascii="宋体" w:hAnsi="宋体"/>
          <w:szCs w:val="21"/>
          <w:highlight w:val="none"/>
        </w:rPr>
        <w:t>邮政编码：</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邮政编码：</w:t>
      </w:r>
      <w:r>
        <w:rPr>
          <w:rFonts w:hint="eastAsia" w:ascii="宋体" w:hAnsi="宋体"/>
          <w:szCs w:val="21"/>
          <w:highlight w:val="none"/>
          <w:u w:val="single"/>
        </w:rPr>
        <w:t xml:space="preserve">                                                       </w:t>
      </w:r>
    </w:p>
    <w:p w14:paraId="0314458F">
      <w:pPr>
        <w:spacing w:line="400" w:lineRule="exact"/>
        <w:ind w:firstLine="420" w:firstLineChars="200"/>
        <w:rPr>
          <w:rFonts w:ascii="宋体" w:hAnsi="宋体"/>
          <w:szCs w:val="21"/>
          <w:highlight w:val="none"/>
          <w:u w:val="single"/>
        </w:rPr>
      </w:pPr>
      <w:r>
        <w:rPr>
          <w:rFonts w:ascii="宋体" w:hAnsi="宋体"/>
          <w:szCs w:val="21"/>
          <w:highlight w:val="none"/>
        </w:rPr>
        <w:t>法定代表人：</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法定代表人：</w:t>
      </w:r>
      <w:r>
        <w:rPr>
          <w:rFonts w:hint="eastAsia" w:ascii="宋体" w:hAnsi="宋体"/>
          <w:szCs w:val="21"/>
          <w:highlight w:val="none"/>
          <w:u w:val="single"/>
        </w:rPr>
        <w:t xml:space="preserve">                                                   </w:t>
      </w:r>
    </w:p>
    <w:p w14:paraId="6E2ACEF1">
      <w:pPr>
        <w:spacing w:line="400" w:lineRule="exact"/>
        <w:ind w:firstLine="420" w:firstLineChars="200"/>
        <w:rPr>
          <w:rFonts w:ascii="宋体" w:hAnsi="宋体"/>
          <w:szCs w:val="21"/>
          <w:highlight w:val="none"/>
          <w:u w:val="single"/>
        </w:rPr>
      </w:pPr>
      <w:r>
        <w:rPr>
          <w:rFonts w:ascii="宋体" w:hAnsi="宋体"/>
          <w:szCs w:val="21"/>
          <w:highlight w:val="none"/>
        </w:rPr>
        <w:t>委托代理人：</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委托代理人：</w:t>
      </w:r>
      <w:r>
        <w:rPr>
          <w:rFonts w:hint="eastAsia" w:ascii="宋体" w:hAnsi="宋体"/>
          <w:szCs w:val="21"/>
          <w:highlight w:val="none"/>
          <w:u w:val="single"/>
        </w:rPr>
        <w:t xml:space="preserve">                                                   </w:t>
      </w:r>
    </w:p>
    <w:p w14:paraId="21E85DA2">
      <w:pPr>
        <w:spacing w:line="400" w:lineRule="exact"/>
        <w:ind w:firstLine="420" w:firstLineChars="200"/>
        <w:rPr>
          <w:rFonts w:ascii="宋体" w:hAnsi="宋体"/>
          <w:szCs w:val="21"/>
          <w:highlight w:val="none"/>
          <w:u w:val="single"/>
        </w:rPr>
      </w:pPr>
      <w:r>
        <w:rPr>
          <w:rFonts w:ascii="宋体" w:hAnsi="宋体"/>
          <w:szCs w:val="21"/>
          <w:highlight w:val="none"/>
        </w:rPr>
        <w:t xml:space="preserve">电  </w:t>
      </w:r>
      <w:r>
        <w:rPr>
          <w:rFonts w:hint="eastAsia" w:ascii="宋体" w:hAnsi="宋体"/>
          <w:szCs w:val="21"/>
          <w:highlight w:val="none"/>
        </w:rPr>
        <w:t xml:space="preserve">  </w:t>
      </w:r>
      <w:r>
        <w:rPr>
          <w:rFonts w:ascii="宋体" w:hAnsi="宋体"/>
          <w:szCs w:val="21"/>
          <w:highlight w:val="none"/>
        </w:rPr>
        <w:t>话：</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电  话：</w:t>
      </w:r>
      <w:r>
        <w:rPr>
          <w:rFonts w:hint="eastAsia" w:ascii="宋体" w:hAnsi="宋体"/>
          <w:szCs w:val="21"/>
          <w:highlight w:val="none"/>
          <w:u w:val="single"/>
        </w:rPr>
        <w:t xml:space="preserve">                                                            </w:t>
      </w:r>
    </w:p>
    <w:p w14:paraId="7F314B26">
      <w:pPr>
        <w:spacing w:line="400" w:lineRule="exact"/>
        <w:ind w:firstLine="420" w:firstLineChars="200"/>
        <w:rPr>
          <w:rFonts w:ascii="宋体" w:hAnsi="宋体"/>
          <w:szCs w:val="21"/>
          <w:highlight w:val="none"/>
          <w:u w:val="single"/>
        </w:rPr>
      </w:pPr>
      <w:r>
        <w:rPr>
          <w:rFonts w:ascii="宋体" w:hAnsi="宋体"/>
          <w:szCs w:val="21"/>
          <w:highlight w:val="none"/>
        </w:rPr>
        <w:t xml:space="preserve">传  </w:t>
      </w:r>
      <w:r>
        <w:rPr>
          <w:rFonts w:hint="eastAsia" w:ascii="宋体" w:hAnsi="宋体"/>
          <w:szCs w:val="21"/>
          <w:highlight w:val="none"/>
        </w:rPr>
        <w:t xml:space="preserve">  </w:t>
      </w:r>
      <w:r>
        <w:rPr>
          <w:rFonts w:ascii="宋体" w:hAnsi="宋体"/>
          <w:szCs w:val="21"/>
          <w:highlight w:val="none"/>
        </w:rPr>
        <w:t>真：</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传  真：</w:t>
      </w:r>
      <w:r>
        <w:rPr>
          <w:rFonts w:hint="eastAsia" w:ascii="宋体" w:hAnsi="宋体"/>
          <w:szCs w:val="21"/>
          <w:highlight w:val="none"/>
          <w:u w:val="single"/>
        </w:rPr>
        <w:t xml:space="preserve">                                                           </w:t>
      </w:r>
    </w:p>
    <w:p w14:paraId="3F9182B0">
      <w:pPr>
        <w:spacing w:line="400" w:lineRule="exact"/>
        <w:ind w:firstLine="420" w:firstLineChars="200"/>
        <w:rPr>
          <w:rFonts w:ascii="宋体" w:hAnsi="宋体"/>
          <w:szCs w:val="21"/>
          <w:highlight w:val="none"/>
          <w:u w:val="single"/>
        </w:rPr>
      </w:pPr>
      <w:r>
        <w:rPr>
          <w:rFonts w:ascii="宋体" w:hAnsi="宋体"/>
          <w:szCs w:val="21"/>
          <w:highlight w:val="none"/>
        </w:rPr>
        <w:t>电子信箱：</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电子信箱：</w:t>
      </w:r>
      <w:r>
        <w:rPr>
          <w:rFonts w:hint="eastAsia" w:ascii="宋体" w:hAnsi="宋体"/>
          <w:szCs w:val="21"/>
          <w:highlight w:val="none"/>
          <w:u w:val="single"/>
        </w:rPr>
        <w:t xml:space="preserve">                                                        </w:t>
      </w:r>
    </w:p>
    <w:p w14:paraId="1702B80F">
      <w:pPr>
        <w:spacing w:line="400" w:lineRule="exact"/>
        <w:ind w:firstLine="420" w:firstLineChars="200"/>
        <w:rPr>
          <w:rFonts w:ascii="宋体" w:hAnsi="宋体"/>
          <w:szCs w:val="21"/>
          <w:highlight w:val="none"/>
          <w:u w:val="single"/>
        </w:rPr>
      </w:pPr>
      <w:r>
        <w:rPr>
          <w:rFonts w:ascii="宋体" w:hAnsi="宋体"/>
          <w:szCs w:val="21"/>
          <w:highlight w:val="none"/>
        </w:rPr>
        <w:t>开户银行：</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开户银行：</w:t>
      </w:r>
      <w:r>
        <w:rPr>
          <w:rFonts w:hint="eastAsia" w:ascii="宋体" w:hAnsi="宋体"/>
          <w:szCs w:val="21"/>
          <w:highlight w:val="none"/>
          <w:u w:val="single"/>
        </w:rPr>
        <w:t xml:space="preserve">                                                        </w:t>
      </w:r>
    </w:p>
    <w:p w14:paraId="5730581B">
      <w:pPr>
        <w:spacing w:line="400" w:lineRule="exact"/>
        <w:ind w:firstLine="420" w:firstLineChars="200"/>
        <w:rPr>
          <w:rFonts w:ascii="宋体" w:hAnsi="宋体"/>
          <w:szCs w:val="21"/>
          <w:highlight w:val="none"/>
        </w:rPr>
      </w:pPr>
      <w:r>
        <w:rPr>
          <w:rFonts w:ascii="宋体" w:hAnsi="宋体"/>
          <w:szCs w:val="21"/>
          <w:highlight w:val="none"/>
        </w:rPr>
        <w:t xml:space="preserve">账  </w:t>
      </w:r>
      <w:r>
        <w:rPr>
          <w:rFonts w:hint="eastAsia" w:ascii="宋体" w:hAnsi="宋体"/>
          <w:szCs w:val="21"/>
          <w:highlight w:val="none"/>
        </w:rPr>
        <w:t xml:space="preserve">  </w:t>
      </w:r>
      <w:r>
        <w:rPr>
          <w:rFonts w:ascii="宋体" w:hAnsi="宋体"/>
          <w:szCs w:val="21"/>
          <w:highlight w:val="none"/>
        </w:rPr>
        <w:t>号：</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账</w:t>
      </w:r>
      <w:r>
        <w:rPr>
          <w:rFonts w:hint="eastAsia" w:ascii="宋体" w:hAnsi="宋体"/>
          <w:szCs w:val="21"/>
          <w:highlight w:val="none"/>
        </w:rPr>
        <w:t xml:space="preserve"> </w:t>
      </w:r>
      <w:r>
        <w:rPr>
          <w:rFonts w:ascii="宋体" w:hAnsi="宋体"/>
          <w:szCs w:val="21"/>
          <w:highlight w:val="none"/>
        </w:rPr>
        <w:t xml:space="preserve"> 号：</w:t>
      </w:r>
      <w:r>
        <w:rPr>
          <w:rFonts w:hint="eastAsia" w:ascii="宋体" w:hAnsi="宋体"/>
          <w:szCs w:val="21"/>
          <w:highlight w:val="none"/>
          <w:u w:val="single"/>
        </w:rPr>
        <w:t xml:space="preserve">                                                           </w:t>
      </w:r>
    </w:p>
    <w:p w14:paraId="59EB7705">
      <w:pPr>
        <w:spacing w:line="400" w:lineRule="exact"/>
        <w:jc w:val="center"/>
        <w:rPr>
          <w:rFonts w:ascii="黑体" w:eastAsia="黑体"/>
          <w:sz w:val="30"/>
          <w:szCs w:val="30"/>
          <w:highlight w:val="none"/>
        </w:rPr>
      </w:pPr>
      <w:r>
        <w:rPr>
          <w:rFonts w:ascii="宋体" w:hAnsi="宋体"/>
          <w:szCs w:val="21"/>
          <w:highlight w:val="none"/>
        </w:rPr>
        <w:br w:type="page"/>
      </w:r>
      <w:r>
        <w:rPr>
          <w:rFonts w:hint="eastAsia" w:ascii="黑体" w:eastAsia="黑体"/>
          <w:sz w:val="32"/>
          <w:szCs w:val="32"/>
          <w:highlight w:val="none"/>
        </w:rPr>
        <w:t>第二部分  通用合同条款</w:t>
      </w:r>
    </w:p>
    <w:p w14:paraId="5F8518E4">
      <w:pPr>
        <w:spacing w:line="180" w:lineRule="exact"/>
        <w:jc w:val="center"/>
        <w:rPr>
          <w:rFonts w:ascii="黑体" w:eastAsia="黑体"/>
          <w:sz w:val="30"/>
          <w:szCs w:val="30"/>
          <w:highlight w:val="none"/>
        </w:rPr>
      </w:pPr>
    </w:p>
    <w:p w14:paraId="4F6B1742">
      <w:pPr>
        <w:pStyle w:val="4"/>
        <w:spacing w:line="300" w:lineRule="auto"/>
        <w:jc w:val="center"/>
        <w:rPr>
          <w:rFonts w:hint="eastAsia" w:ascii="宋体" w:cs="宋体"/>
          <w:color w:val="auto"/>
          <w:sz w:val="24"/>
          <w:szCs w:val="24"/>
          <w:highlight w:val="none"/>
        </w:rPr>
      </w:pPr>
    </w:p>
    <w:p w14:paraId="3968335C">
      <w:pPr>
        <w:pStyle w:val="4"/>
        <w:spacing w:line="300" w:lineRule="auto"/>
        <w:jc w:val="center"/>
        <w:rPr>
          <w:rFonts w:hint="eastAsia" w:ascii="宋体" w:cs="宋体"/>
          <w:color w:val="auto"/>
          <w:sz w:val="24"/>
          <w:szCs w:val="24"/>
          <w:highlight w:val="none"/>
        </w:rPr>
      </w:pPr>
    </w:p>
    <w:p w14:paraId="3917587D">
      <w:pPr>
        <w:pStyle w:val="4"/>
        <w:spacing w:line="300" w:lineRule="auto"/>
        <w:jc w:val="center"/>
        <w:rPr>
          <w:rFonts w:hint="eastAsia" w:ascii="宋体" w:cs="宋体"/>
          <w:color w:val="auto"/>
          <w:sz w:val="24"/>
          <w:szCs w:val="24"/>
          <w:highlight w:val="none"/>
        </w:rPr>
      </w:pPr>
      <w:r>
        <w:rPr>
          <w:rFonts w:hint="eastAsia" w:ascii="宋体" w:cs="宋体"/>
          <w:color w:val="auto"/>
          <w:sz w:val="24"/>
          <w:szCs w:val="24"/>
          <w:highlight w:val="none"/>
        </w:rPr>
        <w:t>具体详见GF-2020-0216通用条款部分</w:t>
      </w:r>
    </w:p>
    <w:p w14:paraId="4A78FB2E">
      <w:pPr>
        <w:spacing w:line="360" w:lineRule="exact"/>
        <w:jc w:val="center"/>
        <w:rPr>
          <w:rFonts w:ascii="黑体" w:eastAsia="黑体"/>
          <w:sz w:val="32"/>
          <w:szCs w:val="32"/>
          <w:highlight w:val="none"/>
        </w:rPr>
      </w:pPr>
      <w:r>
        <w:rPr>
          <w:highlight w:val="none"/>
        </w:rPr>
        <w:br w:type="page"/>
      </w:r>
      <w:r>
        <w:rPr>
          <w:rFonts w:hint="eastAsia" w:ascii="黑体" w:eastAsia="黑体"/>
          <w:sz w:val="32"/>
          <w:szCs w:val="32"/>
          <w:highlight w:val="none"/>
        </w:rPr>
        <w:t>第三部分  专用合同条款</w:t>
      </w:r>
    </w:p>
    <w:p w14:paraId="02378986">
      <w:pPr>
        <w:spacing w:line="240" w:lineRule="exact"/>
        <w:rPr>
          <w:highlight w:val="none"/>
        </w:rPr>
      </w:pPr>
    </w:p>
    <w:p w14:paraId="073369AD">
      <w:pPr>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第1条  一般规定</w:t>
      </w:r>
    </w:p>
    <w:p w14:paraId="4CBD4155">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1.1 词语定义和解释</w:t>
      </w:r>
    </w:p>
    <w:p w14:paraId="6A10911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1.1.1 合同</w:t>
      </w:r>
    </w:p>
    <w:p w14:paraId="7CB063D5">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宋体"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1.1.1.10 其他合同文件</w:t>
      </w:r>
      <w:r>
        <w:rPr>
          <w:rFonts w:hint="eastAsia" w:ascii="宋体" w:hAnsi="宋体" w:eastAsia="宋体" w:cs="宋体"/>
          <w:snapToGrid w:val="0"/>
          <w:color w:val="000000" w:themeColor="text1"/>
          <w:kern w:val="0"/>
          <w:szCs w:val="21"/>
          <w:highlight w:val="none"/>
          <w:lang w:eastAsia="en-US"/>
          <w14:textFill>
            <w14:solidFill>
              <w14:schemeClr w14:val="tx1"/>
            </w14:solidFill>
          </w14:textFill>
        </w:rPr>
        <w:t>：</w:t>
      </w:r>
      <w:r>
        <w:rPr>
          <w:rFonts w:hint="eastAsia" w:ascii="宋体" w:hAnsi="宋体" w:eastAsia="宋体" w:cs="宋体"/>
          <w:b/>
          <w:snapToGrid w:val="0"/>
          <w:color w:val="000000" w:themeColor="text1"/>
          <w:kern w:val="0"/>
          <w:szCs w:val="21"/>
          <w:highlight w:val="none"/>
          <w:u w:val="single"/>
          <w:lang w:eastAsia="en-US"/>
          <w14:textFill>
            <w14:solidFill>
              <w14:schemeClr w14:val="tx1"/>
            </w14:solidFill>
          </w14:textFill>
        </w:rPr>
        <w:t>⑴含合同谈判中澄清文件；⑵承包人在评标期间递交和确认并经发包人同意的对有关问题的补充资料和澄清文件等；⑶询标纪要、招标补充文件（答疑纪要）、招投标文件；⑷发包人与承包人有关工程的洽商、工程变更等书面协议或相关政府或政府部门关于建设项目现行的有关管理办法或规定等</w:t>
      </w:r>
      <w:r>
        <w:rPr>
          <w:rFonts w:hint="eastAsia" w:ascii="宋体" w:hAnsi="宋体" w:eastAsia="宋体" w:cs="宋体"/>
          <w:b/>
          <w:snapToGrid w:val="0"/>
          <w:color w:val="000000" w:themeColor="text1"/>
          <w:kern w:val="0"/>
          <w:szCs w:val="21"/>
          <w:highlight w:val="none"/>
          <w:lang w:eastAsia="en-US"/>
          <w14:textFill>
            <w14:solidFill>
              <w14:schemeClr w14:val="tx1"/>
            </w14:solidFill>
          </w14:textFill>
        </w:rPr>
        <w:t>。</w:t>
      </w:r>
    </w:p>
    <w:p w14:paraId="7290EEA8">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 工程和设备</w:t>
      </w:r>
    </w:p>
    <w:p w14:paraId="27ECCE69">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1.1.3.5 单位/区段工程的范围：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指具有相对独立的设计文件，能够独立组织施工并能形成独立使用功能的永久工程的组成部分</w:t>
      </w:r>
      <w:r>
        <w:rPr>
          <w:rFonts w:hint="eastAsia" w:ascii="宋体" w:hAnsi="宋体" w:eastAsia="Arial" w:cs="宋体"/>
          <w:bCs/>
          <w:snapToGrid w:val="0"/>
          <w:color w:val="000000" w:themeColor="text1"/>
          <w:kern w:val="0"/>
          <w:szCs w:val="21"/>
          <w:highlight w:val="none"/>
          <w:lang w:eastAsia="en-US"/>
          <w14:textFill>
            <w14:solidFill>
              <w14:schemeClr w14:val="tx1"/>
            </w14:solidFill>
          </w14:textFill>
        </w:rPr>
        <w:t>。</w:t>
      </w:r>
    </w:p>
    <w:p w14:paraId="3F905990">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1.1.3.9 作为施工场所组成部分的其他场所包括：</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无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8F955C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1.1.3.10 永久占地包括：</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建设永久工程的用地及其附属设施用地。</w:t>
      </w:r>
    </w:p>
    <w:p w14:paraId="2D3841C1">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1.1.3.11 临时占地包括：</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建设临时工程的用地或用于施工所需的临时场地，用地红线及护坡等施工范围外的临时占地由承包人自行解决</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3B7B1A7">
      <w:pPr>
        <w:pageBreakBefore w:val="0"/>
        <w:widowControl/>
        <w:tabs>
          <w:tab w:val="left" w:pos="1276"/>
        </w:tabs>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1.2  语言文字</w:t>
      </w:r>
    </w:p>
    <w:p w14:paraId="6235D56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本合同除使用汉语外，还使用</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语言。</w:t>
      </w:r>
    </w:p>
    <w:p w14:paraId="32FBA067">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1.3  法律</w:t>
      </w:r>
    </w:p>
    <w:p w14:paraId="202B0B9D">
      <w:pPr>
        <w:keepNext w:val="0"/>
        <w:keepLines w:val="0"/>
        <w:pageBreakBefore w:val="0"/>
        <w:widowControl/>
        <w:tabs>
          <w:tab w:val="left" w:pos="616"/>
        </w:tabs>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宋体" w:cs="宋体"/>
          <w:b/>
          <w:snapToGrid w:val="0"/>
          <w:color w:val="000000" w:themeColor="text1"/>
          <w:kern w:val="0"/>
          <w:szCs w:val="21"/>
          <w:highlight w:val="none"/>
          <w:u w:val="single"/>
          <w:lang w:eastAsia="zh-CN"/>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适用于合同的其他规范性文件：</w:t>
      </w:r>
      <w:r>
        <w:rPr>
          <w:rFonts w:hint="eastAsia" w:ascii="宋体" w:hAnsi="宋体" w:cs="宋体"/>
          <w:b/>
          <w:color w:val="auto"/>
          <w:szCs w:val="21"/>
          <w:highlight w:val="none"/>
          <w:u w:val="single"/>
        </w:rPr>
        <w:t>《中华人民共和国民法典》、《中华人民共和国建筑法》、《中华人民共和国招标投标法》、《中华人民共和国招标投标法实施条例》、《中华人民共和国安全生产法》、《中华人民共和国劳动法》、《中华人民共和国环境保护法》、《建设工程质量管理条例》及中华人民共和国住房和城乡建设部等有关部委及省、市、区的有关规定。</w:t>
      </w:r>
    </w:p>
    <w:p w14:paraId="0B77F1FD">
      <w:pPr>
        <w:keepNext w:val="0"/>
        <w:keepLines w:val="0"/>
        <w:pageBreakBefore w:val="0"/>
        <w:widowControl w:val="0"/>
        <w:kinsoku w:val="0"/>
        <w:wordWrap/>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1.4  标准和规范</w:t>
      </w:r>
    </w:p>
    <w:p w14:paraId="0C8E4D73">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1.4.1 本合同适用的标准、规范（名称）包括：</w:t>
      </w:r>
      <w:bookmarkStart w:id="117" w:name="_Hlk522480563"/>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按现行的国家、省、市验收规范、质量评定标准及有关规定。合同工期内的标准、规范，招标文件中的技术要求等。若承包人投标文件技术规范高于上述要求的，则按投标文件技术规范执行</w:t>
      </w:r>
      <w:bookmarkEnd w:id="117"/>
      <w:r>
        <w:rPr>
          <w:rFonts w:hint="eastAsia" w:ascii="宋体" w:hAnsi="宋体" w:eastAsia="Arial" w:cs="宋体"/>
          <w:bCs/>
          <w:snapToGrid w:val="0"/>
          <w:color w:val="000000" w:themeColor="text1"/>
          <w:kern w:val="0"/>
          <w:szCs w:val="21"/>
          <w:highlight w:val="none"/>
          <w:u w:val="single"/>
          <w:lang w:eastAsia="en-US"/>
          <w14:textFill>
            <w14:solidFill>
              <w14:schemeClr w14:val="tx1"/>
            </w14:solidFill>
          </w14:textFill>
        </w:rPr>
        <w:t>。</w:t>
      </w:r>
    </w:p>
    <w:p w14:paraId="2A570EBE">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1.4.2 发包人提供的国外标准、规范的名称、份数和时间：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；发包人提供的国外标准、规范的份数：</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；发包人提供的国外标准、规范的时间：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0DC58E1">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1.4.3 没有成文规范、标准规定的约定：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由发包人通过监理工程师或设计院出具技术要求</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w:t>
      </w:r>
    </w:p>
    <w:p w14:paraId="461F1846">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1.4.4 发包人对于工程的技术标准、功能要求：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详见设计文件和招标技术要求</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EB1D3E9">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1.5 合同文件的优先顺序</w:t>
      </w:r>
    </w:p>
    <w:p w14:paraId="067E9CB0">
      <w:pPr>
        <w:keepNext w:val="0"/>
        <w:keepLines w:val="0"/>
        <w:pageBreakBefore w:val="0"/>
        <w:widowControl w:val="0"/>
        <w:tabs>
          <w:tab w:val="left" w:pos="1276"/>
        </w:tabs>
        <w:kinsoku/>
        <w:wordWrap/>
        <w:overflowPunct/>
        <w:autoSpaceDE w:val="0"/>
        <w:autoSpaceDN w:val="0"/>
        <w:bidi w:val="0"/>
        <w:adjustRightInd w:val="0"/>
        <w:snapToGrid w:val="0"/>
        <w:spacing w:line="400" w:lineRule="exact"/>
        <w:ind w:firstLine="420" w:firstLineChars="200"/>
        <w:contextualSpacing/>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1.5.1 合同文件组成及优先顺序为：</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合同协议书；(2)中标通知书；(3)经发包人确认的承包人所作的申明、承诺、澄清及答复资料等；(4)投标函及投标函附录；(5)招标文件及附件；(6)专用合同条款；（7)通用合同条款；(8)承包人建议书（如果有）；(9)价格清单；(10)补充资料表；（11）联合体协议书</w:t>
      </w:r>
      <w:r>
        <w:rPr>
          <w:rFonts w:hint="eastAsia" w:ascii="宋体" w:hAnsi="宋体" w:eastAsia="Arial" w:cs="宋体"/>
          <w:snapToGrid w:val="0"/>
          <w:color w:val="000000" w:themeColor="text1"/>
          <w:kern w:val="0"/>
          <w:szCs w:val="21"/>
          <w:highlight w:val="none"/>
          <w:u w:val="single"/>
          <w:lang w:eastAsia="zh-CN"/>
          <w14:textFill>
            <w14:solidFill>
              <w14:schemeClr w14:val="tx1"/>
            </w14:solidFill>
          </w14:textFill>
        </w:rPr>
        <w:t>（如有）</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；(12)双方约定的其它合同文件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634EDDA">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1.6 文件的提供和照管</w:t>
      </w:r>
    </w:p>
    <w:p w14:paraId="4B303325">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1.6.1 发包人文件的提供</w:t>
      </w:r>
    </w:p>
    <w:p w14:paraId="66914D7E">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发包人文件的提供期限、名称、数量和形式：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初步设计文件在合同签订后7日内提供</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68C738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1.6.2 承包人文件的提供</w:t>
      </w:r>
    </w:p>
    <w:p w14:paraId="5FB4A015">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承包人文件的内容、提供期限、名称、数量和形式：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具体视发包人需求</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08EFE4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1.6.4 文件的照管</w:t>
      </w:r>
    </w:p>
    <w:p w14:paraId="0E1EF1A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关于现场文件准备的约定：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承包人应在施工现场准备图纸和承包人文件及其他相关文件，供发包人、监理人及有关人员进行工程检查时使用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5C73DFB">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1.7 联络</w:t>
      </w:r>
    </w:p>
    <w:p w14:paraId="07777C52">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1.7.1联络来往函件的送达和接收</w:t>
      </w:r>
    </w:p>
    <w:p w14:paraId="2D41E20F">
      <w:pPr>
        <w:keepNext/>
        <w:keepLines/>
        <w:pageBreakBefore w:val="0"/>
        <w:widowControl/>
        <w:numPr>
          <w:ilvl w:val="5"/>
          <w:numId w:val="0"/>
        </w:numPr>
        <w:kinsoku w:val="0"/>
        <w:overflowPunct/>
        <w:autoSpaceDE w:val="0"/>
        <w:autoSpaceDN w:val="0"/>
        <w:bidi w:val="0"/>
        <w:adjustRightInd w:val="0"/>
        <w:snapToGrid w:val="0"/>
        <w:spacing w:line="400" w:lineRule="exact"/>
        <w:ind w:firstLine="420" w:firstLineChars="200"/>
        <w:jc w:val="left"/>
        <w:textAlignment w:val="baseline"/>
        <w:outlineLvl w:val="5"/>
        <w:rPr>
          <w:rFonts w:ascii="Arial" w:hAnsi="Arial" w:eastAsia="黑体" w:cs="Arial"/>
          <w:b w:val="0"/>
          <w:bCs/>
          <w:snapToGrid w:val="0"/>
          <w:color w:val="000000" w:themeColor="text1"/>
          <w:kern w:val="0"/>
          <w:sz w:val="24"/>
          <w:szCs w:val="20"/>
          <w:highlight w:val="none"/>
          <w:lang w:val="en-US" w:eastAsia="en-US" w:bidi="ar-SA"/>
          <w14:textFill>
            <w14:solidFill>
              <w14:schemeClr w14:val="tx1"/>
            </w14:solidFill>
          </w14:textFill>
        </w:rPr>
      </w:pPr>
      <w:r>
        <w:rPr>
          <w:rFonts w:hint="eastAsia" w:ascii="宋体" w:hAnsi="宋体" w:eastAsia="宋体" w:cs="宋体"/>
          <w:b w:val="0"/>
          <w:bCs/>
          <w:snapToGrid w:val="0"/>
          <w:color w:val="000000" w:themeColor="text1"/>
          <w:kern w:val="0"/>
          <w:sz w:val="21"/>
          <w:szCs w:val="21"/>
          <w:highlight w:val="none"/>
          <w:lang w:val="en-US" w:eastAsia="en-US" w:bidi="ar-SA"/>
          <w14:textFill>
            <w14:solidFill>
              <w14:schemeClr w14:val="tx1"/>
            </w14:solidFill>
          </w14:textFill>
        </w:rPr>
        <w:t>（1）联络来往信函的送达期限：</w:t>
      </w:r>
      <w:r>
        <w:rPr>
          <w:rFonts w:hint="eastAsia" w:ascii="宋体" w:hAnsi="宋体" w:eastAsia="宋体" w:cs="宋体"/>
          <w:b w:val="0"/>
          <w:bCs/>
          <w:snapToGrid w:val="0"/>
          <w:color w:val="000000" w:themeColor="text1"/>
          <w:kern w:val="0"/>
          <w:sz w:val="21"/>
          <w:szCs w:val="21"/>
          <w:highlight w:val="none"/>
          <w:u w:val="single"/>
          <w:lang w:val="en-US" w:eastAsia="en-US" w:bidi="ar-SA"/>
          <w14:textFill>
            <w14:solidFill>
              <w14:schemeClr w14:val="tx1"/>
            </w14:solidFill>
          </w14:textFill>
        </w:rPr>
        <w:t>合同约定了发出期限的，送达期限为合同约定的发出期限后的24小时内；合同约定了通知、提供或者报送期限的，通知、提供或者报送期限即为送达期限</w:t>
      </w:r>
      <w:r>
        <w:rPr>
          <w:rFonts w:hint="eastAsia" w:ascii="宋体" w:hAnsi="宋体" w:eastAsia="宋体" w:cs="宋体"/>
          <w:b w:val="0"/>
          <w:bCs/>
          <w:snapToGrid w:val="0"/>
          <w:color w:val="000000" w:themeColor="text1"/>
          <w:kern w:val="0"/>
          <w:sz w:val="21"/>
          <w:szCs w:val="21"/>
          <w:highlight w:val="none"/>
          <w:lang w:val="en-US" w:eastAsia="en-US" w:bidi="ar-SA"/>
          <w14:textFill>
            <w14:solidFill>
              <w14:schemeClr w14:val="tx1"/>
            </w14:solidFill>
          </w14:textFill>
        </w:rPr>
        <w:t>。</w:t>
      </w:r>
    </w:p>
    <w:p w14:paraId="063DF73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1.7.2 发包人指定的送达方式（包括电子传输方式）：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3833E7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发包人的送达地址：</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A32E248">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承包人指定的送达方式（包括电子传输方式）：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CC60C82">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承包人的送达地址：</w:t>
      </w:r>
      <w:r>
        <w:rPr>
          <w:rFonts w:hint="eastAsia" w:ascii="宋体" w:hAnsi="宋体" w:eastAsia="Arial" w:cs="宋体"/>
          <w:snapToGrid w:val="0"/>
          <w:color w:val="000000" w:themeColor="text1"/>
          <w:kern w:val="0"/>
          <w:sz w:val="21"/>
          <w:szCs w:val="21"/>
          <w:highlight w:val="none"/>
          <w:u w:val="single"/>
          <w:lang w:val="en-US" w:eastAsia="en-US" w:bidi="ar-SA"/>
          <w14:textFill>
            <w14:solidFill>
              <w14:schemeClr w14:val="tx1"/>
            </w14:solidFill>
          </w14:textFill>
        </w:rPr>
        <w:t xml:space="preserve">                                </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w:t>
      </w:r>
    </w:p>
    <w:p w14:paraId="34A8C840">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1.10 知识产权</w:t>
      </w:r>
    </w:p>
    <w:p w14:paraId="2D618E64">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1.10.1 由发包人（或以发包人名义）编制的《发包人要求》和其他文件的著作权归属：</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发包人</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E2EBE08">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1.10.2 由承包人（或以承包人名义）为实施工程所编制的文件、承包人完成的设计工作成果和建造完成的建筑物的知识产权归属：</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发包人</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477CA77">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1.10.4 承包人在投标文件中采用的专利、专有技术、技术秘密的使用费的承担方式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承包人在投标文件中采用的专利、专有技术、商业软件、技术秘密的使用费已包含在签约合同价中</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6C5509B">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1.11 保密</w:t>
      </w:r>
    </w:p>
    <w:p w14:paraId="429C13F6">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双方订立的商业保密协议（名称）：</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，作为本合同附件。</w:t>
      </w:r>
    </w:p>
    <w:p w14:paraId="759A3F94">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双方订立的技术保密协议（名称）：</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，作为本合同附件。</w:t>
      </w:r>
    </w:p>
    <w:p w14:paraId="572DC8B0">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1.12 《发包人要求》和基础资料中的错误</w:t>
      </w:r>
    </w:p>
    <w:p w14:paraId="03D2BB7C">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承包人应尽早认真阅读、复核《发包人要求》以及其提供的基础资料，发现错误的，应及时书面通知发包人补正。发包人作相应修改的。</w:t>
      </w:r>
    </w:p>
    <w:p w14:paraId="4545C5C5">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Arial" w:hAnsi="Arial"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《发包人要求》或其提供的基础资料中的错误导致承包人增加费用和（或）工期延误的，视由此增加的费用和（或）工期延误的情况协商解决。</w:t>
      </w:r>
    </w:p>
    <w:p w14:paraId="27B392A4">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1.13 责任限制</w:t>
      </w:r>
    </w:p>
    <w:p w14:paraId="5826FA9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承包人对发包人赔偿责任的最高限额为</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w:t>
      </w:r>
    </w:p>
    <w:p w14:paraId="4D4574F9">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1.14 建筑信息模型技术的应用</w:t>
      </w:r>
    </w:p>
    <w:p w14:paraId="0F69C438">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关于建筑信息模型技术的开发、使用、存储、传输、交付及费用约定如下：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2942A33">
      <w:pPr>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第2条  发包人</w:t>
      </w:r>
    </w:p>
    <w:p w14:paraId="4B879941">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2.2 提供施工现场和工作条件</w:t>
      </w:r>
    </w:p>
    <w:p w14:paraId="3AFAC1FB">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2.2.1 提供施工现场</w:t>
      </w:r>
    </w:p>
    <w:p w14:paraId="7E69DFE5">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关于发包人提供施工现场的范围和期限：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施工场地应当在监理单位发出的开始工作通知中载明的开始工作日期前7</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具备施工条件并移交给承包人。具体施工条件在发包人要求中约定。</w:t>
      </w:r>
    </w:p>
    <w:p w14:paraId="1FCCD933">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2.2.2 提供工作条件</w:t>
      </w:r>
    </w:p>
    <w:p w14:paraId="2FB363E5">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关于发包人应负责提供的工作条件包括：</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按通用条款约定  。</w:t>
      </w:r>
    </w:p>
    <w:p w14:paraId="794ED53F">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2.3 提供基础资料</w:t>
      </w:r>
    </w:p>
    <w:p w14:paraId="5116D826">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关于发包人应提供的基础资料的范围和期限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发包人承诺按合同约定的条件、时间和方式向承包人支付合同价款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2FFD8D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2.5 支付合同价款</w:t>
      </w:r>
    </w:p>
    <w:p w14:paraId="0E123BF0">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2.5.2 发包人提供资金来源证明及资金安排的期限要求：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发包人承诺按合同约定的条件、时间和方式向承包人支付合同价款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C1F9E42">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2.5.3 发包人提供支付担保的形式、期限、金额（或比例）：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5E1EDAC">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2.7 其他义务</w:t>
      </w:r>
    </w:p>
    <w:p w14:paraId="170C8DC2">
      <w:pPr>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发包人应履行的其他义务：</w:t>
      </w:r>
    </w:p>
    <w:p w14:paraId="40A5C9DA">
      <w:pPr>
        <w:pageBreakBefore w:val="0"/>
        <w:widowControl/>
        <w:numPr>
          <w:ilvl w:val="0"/>
          <w:numId w:val="20"/>
        </w:numPr>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按有关规定及时办理工程质量监督手续。</w:t>
      </w:r>
    </w:p>
    <w:p w14:paraId="63850996">
      <w:pPr>
        <w:pageBreakBefore w:val="0"/>
        <w:widowControl/>
        <w:numPr>
          <w:ilvl w:val="0"/>
          <w:numId w:val="20"/>
        </w:numPr>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发包人应当履行合同约定的其他义务以及下述义务：</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发包人协助承包人与当地行政管理部门的联系沟通，协助承包人现场工作人员与当地公安户籍部门各项沟通与注册</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5A0DADB">
      <w:pPr>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第3条  发包人的管理</w:t>
      </w:r>
    </w:p>
    <w:p w14:paraId="075C239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3.1 发包人代表</w:t>
      </w:r>
    </w:p>
    <w:p w14:paraId="722123E6">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发包人代表的姓名：</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F578BD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发包人代表的身份证号：</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95EF727">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发包人代表的职务：</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F0328E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发包人代表的联系电话：</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117F45A">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发包人代表的电子邮箱：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04E3BFB">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发包人代表的通信地址：</w:t>
      </w:r>
      <w:r>
        <w:rPr>
          <w:rFonts w:hint="eastAsia" w:ascii="宋体" w:hAnsi="宋体" w:eastAsia="Arial" w:cs="宋体"/>
          <w:i/>
          <w:i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i/>
          <w:i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F6650ED">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发包人对发包人代表的授权范围如下：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870BDB7">
      <w:pPr>
        <w:pageBreakBefore w:val="0"/>
        <w:widowControl/>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ascii="Arial" w:hAnsi="Arial"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发包人代表的职责：</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代表发包方行使履行本工程合同规定的职权，即发包人派驻的工程师有权代表发包方法人签署本合同辅助文件（全面实施质量、安全、进度、投资、文明施工管理， 工程联系单等）。</w:t>
      </w:r>
    </w:p>
    <w:p w14:paraId="00EF0330">
      <w:pPr>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3.2 发包人人员</w:t>
      </w:r>
    </w:p>
    <w:p w14:paraId="53B24C5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发包人人员姓名：</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78B5F4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发包人人员职务：</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527C6F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发包人人员职责：</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A0EFAC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3.3 工程师</w:t>
      </w:r>
    </w:p>
    <w:p w14:paraId="58F0B6A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3.3.1 工程师名称：</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；工程师监督管理范围、内容：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；工程师权限：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w:t>
      </w:r>
    </w:p>
    <w:p w14:paraId="129106C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3.6 商定或确定</w:t>
      </w:r>
    </w:p>
    <w:p w14:paraId="58AAD8B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3.6.2 关于商定时间限制的具体约定：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w:t>
      </w:r>
    </w:p>
    <w:p w14:paraId="27A8DF5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3.6.3 关于商定或确定效力的具体约定：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；关于对工程师的确定提出异议的具体约定：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781872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3.7 会议</w:t>
      </w:r>
    </w:p>
    <w:p w14:paraId="2C1BAAF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3.7.1 关于召开会议的具体约定：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按通用条款。</w:t>
      </w:r>
    </w:p>
    <w:p w14:paraId="2ED2335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3.7.2 关于保存和提供会议纪要的具体约定：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承包人应按发包人要求保存和提供会议纪要</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5C7E192">
      <w:pPr>
        <w:keepNext w:val="0"/>
        <w:keepLines w:val="0"/>
        <w:pageBreakBefore w:val="0"/>
        <w:kinsoku w:val="0"/>
        <w:overflowPunct/>
        <w:autoSpaceDE w:val="0"/>
        <w:autoSpaceDN w:val="0"/>
        <w:bidi w:val="0"/>
        <w:adjustRightInd w:val="0"/>
        <w:snapToGrid w:val="0"/>
        <w:spacing w:line="400" w:lineRule="exact"/>
        <w:ind w:left="0" w:leftChars="0" w:firstLine="0" w:firstLineChars="0"/>
        <w:jc w:val="left"/>
        <w:textAlignment w:val="baseline"/>
        <w:rPr>
          <w:rFonts w:ascii="宋体" w:hAnsi="宋体"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b/>
          <w:snapToGrid w:val="0"/>
          <w:color w:val="000000" w:themeColor="text1"/>
          <w:kern w:val="0"/>
          <w:sz w:val="21"/>
          <w:szCs w:val="21"/>
          <w:highlight w:val="none"/>
          <w:lang w:val="en-US" w:eastAsia="en-US" w:bidi="ar-SA"/>
          <w14:textFill>
            <w14:solidFill>
              <w14:schemeClr w14:val="tx1"/>
            </w14:solidFill>
          </w14:textFill>
        </w:rPr>
        <w:t>第4条  承包人</w:t>
      </w:r>
    </w:p>
    <w:p w14:paraId="3D49A30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4.1 承包人的一般义务</w:t>
      </w:r>
    </w:p>
    <w:p w14:paraId="6BFF5D4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Arial" w:eastAsia="Arial" w:cs="宋体"/>
          <w:snapToGrid w:val="0"/>
          <w:color w:val="000000" w:themeColor="text1"/>
          <w:kern w:val="1"/>
          <w:szCs w:val="21"/>
          <w:highlight w:val="none"/>
          <w:lang w:eastAsia="en-US"/>
          <w14:textFill>
            <w14:solidFill>
              <w14:schemeClr w14:val="tx1"/>
            </w14:solidFill>
          </w14:textFill>
        </w:rPr>
      </w:pPr>
      <w:r>
        <w:rPr>
          <w:rFonts w:ascii="宋体" w:hAnsi="宋体" w:eastAsia="Arial" w:cs="宋体"/>
          <w:snapToGrid w:val="0"/>
          <w:color w:val="000000" w:themeColor="text1"/>
          <w:kern w:val="1"/>
          <w:szCs w:val="21"/>
          <w:highlight w:val="none"/>
          <w:lang w:eastAsia="en-US"/>
          <w14:textFill>
            <w14:solidFill>
              <w14:schemeClr w14:val="tx1"/>
            </w14:solidFill>
          </w14:textFill>
        </w:rPr>
        <w:t>4.1</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承包人的一般义务</w:t>
      </w:r>
    </w:p>
    <w:p w14:paraId="41C300D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Arial" w:eastAsia="Arial" w:cs="宋体"/>
          <w:bCs/>
          <w:snapToGrid w:val="0"/>
          <w:color w:val="000000" w:themeColor="text1"/>
          <w:kern w:val="1"/>
          <w:szCs w:val="21"/>
          <w:highlight w:val="none"/>
          <w:lang w:eastAsia="en-US"/>
          <w14:textFill>
            <w14:solidFill>
              <w14:schemeClr w14:val="tx1"/>
            </w14:solidFill>
          </w14:textFill>
        </w:rPr>
      </w:pPr>
      <w:r>
        <w:rPr>
          <w:rFonts w:ascii="宋体" w:hAnsi="宋体" w:eastAsia="Arial" w:cs="宋体"/>
          <w:bCs/>
          <w:snapToGrid w:val="0"/>
          <w:color w:val="000000" w:themeColor="text1"/>
          <w:kern w:val="1"/>
          <w:szCs w:val="21"/>
          <w:highlight w:val="none"/>
          <w:lang w:eastAsia="en-US"/>
          <w14:textFill>
            <w14:solidFill>
              <w14:schemeClr w14:val="tx1"/>
            </w14:solidFill>
          </w14:textFill>
        </w:rPr>
        <w:t>4.1.1</w:t>
      </w:r>
      <w:r>
        <w:rPr>
          <w:rFonts w:hint="eastAsia" w:ascii="宋体" w:hAnsi="宋体" w:eastAsia="Arial" w:cs="宋体"/>
          <w:bCs/>
          <w:snapToGrid w:val="0"/>
          <w:color w:val="000000" w:themeColor="text1"/>
          <w:kern w:val="1"/>
          <w:szCs w:val="21"/>
          <w:highlight w:val="none"/>
          <w:lang w:eastAsia="en-US"/>
          <w14:textFill>
            <w14:solidFill>
              <w14:schemeClr w14:val="tx1"/>
            </w14:solidFill>
          </w14:textFill>
        </w:rPr>
        <w:t>承包人必须按国家、浙江省及衢州市有关文件规定实行安全文明施工，工程竣工时必须做到工完场清、料清、障清，若违反安全文明施工方面的有关规定，发包人有权从安全文明施工保证金及工程款中扣除相应发生的实际费用。施工期间发生安全责任事故的，一切责任由承包人承担。</w:t>
      </w:r>
    </w:p>
    <w:p w14:paraId="141D8A5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Arial" w:eastAsia="Arial" w:cs="宋体"/>
          <w:bCs/>
          <w:snapToGrid w:val="0"/>
          <w:color w:val="000000" w:themeColor="text1"/>
          <w:kern w:val="1"/>
          <w:szCs w:val="21"/>
          <w:highlight w:val="none"/>
          <w:lang w:eastAsia="en-US"/>
          <w14:textFill>
            <w14:solidFill>
              <w14:schemeClr w14:val="tx1"/>
            </w14:solidFill>
          </w14:textFill>
        </w:rPr>
      </w:pPr>
      <w:r>
        <w:rPr>
          <w:rFonts w:ascii="宋体" w:hAnsi="宋体" w:eastAsia="Arial" w:cs="宋体"/>
          <w:bCs/>
          <w:snapToGrid w:val="0"/>
          <w:color w:val="000000" w:themeColor="text1"/>
          <w:kern w:val="1"/>
          <w:szCs w:val="21"/>
          <w:highlight w:val="none"/>
          <w:lang w:eastAsia="en-US"/>
          <w14:textFill>
            <w14:solidFill>
              <w14:schemeClr w14:val="tx1"/>
            </w14:solidFill>
          </w14:textFill>
        </w:rPr>
        <w:t>4.1.3</w:t>
      </w:r>
      <w:r>
        <w:rPr>
          <w:rFonts w:hint="eastAsia" w:ascii="宋体" w:hAnsi="宋体" w:eastAsia="Arial" w:cs="宋体"/>
          <w:bCs/>
          <w:snapToGrid w:val="0"/>
          <w:color w:val="000000" w:themeColor="text1"/>
          <w:kern w:val="1"/>
          <w:szCs w:val="21"/>
          <w:highlight w:val="none"/>
          <w:lang w:eastAsia="en-US"/>
          <w14:textFill>
            <w14:solidFill>
              <w14:schemeClr w14:val="tx1"/>
            </w14:solidFill>
          </w14:textFill>
        </w:rPr>
        <w:t>除专用合同条款第</w:t>
      </w:r>
      <w:r>
        <w:rPr>
          <w:rFonts w:ascii="宋体" w:hAnsi="宋体" w:eastAsia="Arial" w:cs="宋体"/>
          <w:bCs/>
          <w:snapToGrid w:val="0"/>
          <w:color w:val="000000" w:themeColor="text1"/>
          <w:kern w:val="1"/>
          <w:szCs w:val="21"/>
          <w:highlight w:val="none"/>
          <w:lang w:eastAsia="en-US"/>
          <w14:textFill>
            <w14:solidFill>
              <w14:schemeClr w14:val="tx1"/>
            </w14:solidFill>
          </w14:textFill>
        </w:rPr>
        <w:t>6.2</w:t>
      </w:r>
      <w:r>
        <w:rPr>
          <w:rFonts w:hint="eastAsia" w:ascii="宋体" w:hAnsi="宋体" w:eastAsia="Arial" w:cs="宋体"/>
          <w:bCs/>
          <w:snapToGrid w:val="0"/>
          <w:color w:val="000000" w:themeColor="text1"/>
          <w:kern w:val="1"/>
          <w:szCs w:val="21"/>
          <w:highlight w:val="none"/>
          <w:lang w:eastAsia="en-US"/>
          <w14:textFill>
            <w14:solidFill>
              <w14:schemeClr w14:val="tx1"/>
            </w14:solidFill>
          </w14:textFill>
        </w:rPr>
        <w:t>款约定由发包人提供的材料和工程设备和第</w:t>
      </w:r>
      <w:r>
        <w:rPr>
          <w:rFonts w:ascii="宋体" w:hAnsi="宋体" w:eastAsia="Arial" w:cs="宋体"/>
          <w:bCs/>
          <w:snapToGrid w:val="0"/>
          <w:color w:val="000000" w:themeColor="text1"/>
          <w:kern w:val="1"/>
          <w:szCs w:val="21"/>
          <w:highlight w:val="none"/>
          <w:lang w:eastAsia="en-US"/>
          <w14:textFill>
            <w14:solidFill>
              <w14:schemeClr w14:val="tx1"/>
            </w14:solidFill>
          </w14:textFill>
        </w:rPr>
        <w:t>7.2</w:t>
      </w:r>
      <w:r>
        <w:rPr>
          <w:rFonts w:hint="eastAsia" w:ascii="宋体" w:hAnsi="宋体" w:eastAsia="Arial" w:cs="宋体"/>
          <w:bCs/>
          <w:snapToGrid w:val="0"/>
          <w:color w:val="000000" w:themeColor="text1"/>
          <w:kern w:val="1"/>
          <w:szCs w:val="21"/>
          <w:highlight w:val="none"/>
          <w:lang w:eastAsia="en-US"/>
          <w14:textFill>
            <w14:solidFill>
              <w14:schemeClr w14:val="tx1"/>
            </w14:solidFill>
          </w14:textFill>
        </w:rPr>
        <w:t>款约定由发包人提供的施工设备和临时设施外，承包人应负责提供为完成合同工作所需的劳务、材料、施工设备、工程设备和其他物品，并按合同约定负责临时设施的设计、建造、运行、维护、管理和拆除。</w:t>
      </w:r>
    </w:p>
    <w:p w14:paraId="2AA89961">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jc w:val="left"/>
        <w:textAlignment w:val="baseline"/>
        <w:rPr>
          <w:rFonts w:ascii="宋体" w:hAnsi="Arial" w:eastAsia="Arial" w:cs="宋体"/>
          <w:b/>
          <w:snapToGrid w:val="0"/>
          <w:color w:val="000000" w:themeColor="text1"/>
          <w:kern w:val="1"/>
          <w:szCs w:val="21"/>
          <w:highlight w:val="none"/>
          <w:lang w:eastAsia="en-US"/>
          <w14:textFill>
            <w14:solidFill>
              <w14:schemeClr w14:val="tx1"/>
            </w14:solidFill>
          </w14:textFill>
        </w:rPr>
      </w:pPr>
      <w:r>
        <w:rPr>
          <w:rFonts w:ascii="宋体" w:hAnsi="宋体" w:eastAsia="Arial" w:cs="宋体"/>
          <w:b/>
          <w:snapToGrid w:val="0"/>
          <w:color w:val="000000" w:themeColor="text1"/>
          <w:kern w:val="1"/>
          <w:szCs w:val="21"/>
          <w:highlight w:val="none"/>
          <w:lang w:eastAsia="en-US"/>
          <w14:textFill>
            <w14:solidFill>
              <w14:schemeClr w14:val="tx1"/>
            </w14:solidFill>
          </w14:textFill>
        </w:rPr>
        <w:t>4.1.8</w:t>
      </w:r>
      <w:r>
        <w:rPr>
          <w:rFonts w:hint="eastAsia" w:ascii="宋体" w:hAnsi="宋体" w:eastAsia="Arial" w:cs="宋体"/>
          <w:b/>
          <w:snapToGrid w:val="0"/>
          <w:color w:val="000000" w:themeColor="text1"/>
          <w:kern w:val="1"/>
          <w:szCs w:val="21"/>
          <w:highlight w:val="none"/>
          <w:lang w:eastAsia="en-US"/>
          <w14:textFill>
            <w14:solidFill>
              <w14:schemeClr w14:val="tx1"/>
            </w14:solidFill>
          </w14:textFill>
        </w:rPr>
        <w:t>为他人提供方便</w:t>
      </w:r>
    </w:p>
    <w:p w14:paraId="71038346">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jc w:val="left"/>
        <w:textAlignment w:val="baseline"/>
        <w:outlineLvl w:val="0"/>
        <w:rPr>
          <w:rFonts w:ascii="宋体" w:hAnsi="Arial" w:eastAsia="Arial" w:cs="宋体"/>
          <w:b/>
          <w:snapToGrid w:val="0"/>
          <w:color w:val="000000" w:themeColor="text1"/>
          <w:kern w:val="1"/>
          <w:szCs w:val="21"/>
          <w:highlight w:val="none"/>
          <w:u w:val="single"/>
          <w:lang w:eastAsia="en-US"/>
          <w14:textFill>
            <w14:solidFill>
              <w14:schemeClr w14:val="tx1"/>
            </w14:solidFill>
          </w14:textFill>
        </w:rPr>
      </w:pPr>
      <w:r>
        <w:rPr>
          <w:rFonts w:ascii="宋体" w:hAnsi="宋体" w:eastAsia="Arial" w:cs="宋体"/>
          <w:snapToGrid w:val="0"/>
          <w:color w:val="000000" w:themeColor="text1"/>
          <w:kern w:val="1"/>
          <w:szCs w:val="21"/>
          <w:highlight w:val="none"/>
          <w:lang w:eastAsia="en-US"/>
          <w14:textFill>
            <w14:solidFill>
              <w14:schemeClr w14:val="tx1"/>
            </w14:solidFill>
          </w14:textFill>
        </w:rPr>
        <w:t>(1)</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承包人应当对在施工场地或者附近实施与合同工程有关的其他工作的独立承包人履行管理、协调、配合、照管和服务义务，由此发生的费用被认为已经包括在承包人的签约合同价</w:t>
      </w:r>
      <w:r>
        <w:rPr>
          <w:rFonts w:ascii="宋体" w:hAnsi="宋体" w:eastAsia="Arial" w:cs="宋体"/>
          <w:snapToGrid w:val="0"/>
          <w:color w:val="000000" w:themeColor="text1"/>
          <w:kern w:val="1"/>
          <w:szCs w:val="21"/>
          <w:highlight w:val="none"/>
          <w:lang w:eastAsia="en-US"/>
          <w14:textFill>
            <w14:solidFill>
              <w14:schemeClr w14:val="tx1"/>
            </w14:solidFill>
          </w14:textFill>
        </w:rPr>
        <w:t>(</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投标总报价</w:t>
      </w:r>
      <w:r>
        <w:rPr>
          <w:rFonts w:ascii="宋体" w:hAnsi="宋体" w:eastAsia="Arial" w:cs="宋体"/>
          <w:snapToGrid w:val="0"/>
          <w:color w:val="000000" w:themeColor="text1"/>
          <w:kern w:val="1"/>
          <w:szCs w:val="21"/>
          <w:highlight w:val="none"/>
          <w:lang w:eastAsia="en-US"/>
          <w14:textFill>
            <w14:solidFill>
              <w14:schemeClr w14:val="tx1"/>
            </w14:solidFill>
          </w14:textFill>
        </w:rPr>
        <w:t>)</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中，具体工作内容和要求包括：</w:t>
      </w:r>
      <w:r>
        <w:rPr>
          <w:rFonts w:hint="eastAsia" w:ascii="宋体" w:hAnsi="宋体" w:eastAsia="Arial" w:cs="宋体"/>
          <w:b/>
          <w:snapToGrid w:val="0"/>
          <w:color w:val="000000" w:themeColor="text1"/>
          <w:kern w:val="1"/>
          <w:szCs w:val="21"/>
          <w:highlight w:val="none"/>
          <w:u w:val="single"/>
          <w:lang w:eastAsia="en-US"/>
          <w14:textFill>
            <w14:solidFill>
              <w14:schemeClr w14:val="tx1"/>
            </w14:solidFill>
          </w14:textFill>
        </w:rPr>
        <w:t>承包人无偿向监理人提供已在现场设置的所有设施。</w:t>
      </w:r>
    </w:p>
    <w:p w14:paraId="28264D4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jc w:val="left"/>
        <w:textAlignment w:val="baseline"/>
        <w:rPr>
          <w:rFonts w:ascii="宋体" w:hAnsi="Arial" w:eastAsia="Arial" w:cs="宋体"/>
          <w:snapToGrid w:val="0"/>
          <w:color w:val="000000" w:themeColor="text1"/>
          <w:kern w:val="1"/>
          <w:szCs w:val="21"/>
          <w:highlight w:val="none"/>
          <w:lang w:eastAsia="en-US"/>
          <w14:textFill>
            <w14:solidFill>
              <w14:schemeClr w14:val="tx1"/>
            </w14:solidFill>
          </w14:textFill>
        </w:rPr>
      </w:pPr>
      <w:r>
        <w:rPr>
          <w:rFonts w:ascii="宋体" w:hAnsi="宋体" w:eastAsia="Arial" w:cs="宋体"/>
          <w:snapToGrid w:val="0"/>
          <w:color w:val="000000" w:themeColor="text1"/>
          <w:kern w:val="1"/>
          <w:szCs w:val="21"/>
          <w:highlight w:val="none"/>
          <w:lang w:eastAsia="en-US"/>
          <w14:textFill>
            <w14:solidFill>
              <w14:schemeClr w14:val="tx1"/>
            </w14:solidFill>
          </w14:textFill>
        </w:rPr>
        <w:t>(2)</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承包人还应按监理人指示为独立承包人以外的他人在施工场地或者附近实施与合同工程有关的其他工作提供可能的条件，可能发生费用由监理人按第</w:t>
      </w:r>
      <w:r>
        <w:rPr>
          <w:rFonts w:ascii="宋体" w:hAnsi="宋体" w:eastAsia="Arial" w:cs="宋体"/>
          <w:snapToGrid w:val="0"/>
          <w:color w:val="000000" w:themeColor="text1"/>
          <w:kern w:val="1"/>
          <w:szCs w:val="21"/>
          <w:highlight w:val="none"/>
          <w:lang w:eastAsia="en-US"/>
          <w14:textFill>
            <w14:solidFill>
              <w14:schemeClr w14:val="tx1"/>
            </w14:solidFill>
          </w14:textFill>
        </w:rPr>
        <w:t>3.5</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款商定或者确定。</w:t>
      </w:r>
    </w:p>
    <w:p w14:paraId="106CC0C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jc w:val="left"/>
        <w:textAlignment w:val="baseline"/>
        <w:rPr>
          <w:rFonts w:ascii="宋体" w:hAnsi="Arial" w:eastAsia="Arial" w:cs="宋体"/>
          <w:snapToGrid w:val="0"/>
          <w:color w:val="000000" w:themeColor="text1"/>
          <w:kern w:val="1"/>
          <w:szCs w:val="21"/>
          <w:highlight w:val="none"/>
          <w:lang w:eastAsia="en-US"/>
          <w14:textFill>
            <w14:solidFill>
              <w14:schemeClr w14:val="tx1"/>
            </w14:solidFill>
          </w14:textFill>
        </w:rPr>
      </w:pPr>
      <w:r>
        <w:rPr>
          <w:rFonts w:ascii="宋体" w:hAnsi="宋体" w:eastAsia="Arial" w:cs="宋体"/>
          <w:snapToGrid w:val="0"/>
          <w:color w:val="000000" w:themeColor="text1"/>
          <w:kern w:val="1"/>
          <w:szCs w:val="21"/>
          <w:highlight w:val="none"/>
          <w:lang w:eastAsia="en-US"/>
          <w14:textFill>
            <w14:solidFill>
              <w14:schemeClr w14:val="tx1"/>
            </w14:solidFill>
          </w14:textFill>
        </w:rPr>
        <w:t>4.1.9</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其它</w:t>
      </w:r>
    </w:p>
    <w:p w14:paraId="3EA25AB1">
      <w:pPr>
        <w:spacing w:line="400" w:lineRule="exact"/>
        <w:ind w:firstLine="420" w:firstLineChars="200"/>
        <w:rPr>
          <w:rFonts w:ascii="宋体" w:cs="宋体"/>
          <w:color w:val="auto"/>
          <w:kern w:val="1"/>
          <w:szCs w:val="21"/>
          <w:highlight w:val="none"/>
        </w:rPr>
      </w:pPr>
      <w:r>
        <w:rPr>
          <w:rFonts w:hint="eastAsia" w:ascii="宋体" w:hAnsi="宋体" w:cs="宋体"/>
          <w:color w:val="auto"/>
          <w:kern w:val="1"/>
          <w:szCs w:val="21"/>
          <w:highlight w:val="none"/>
        </w:rPr>
        <w:t>（</w:t>
      </w:r>
      <w:r>
        <w:rPr>
          <w:rFonts w:ascii="宋体" w:hAnsi="宋体" w:cs="宋体"/>
          <w:color w:val="auto"/>
          <w:kern w:val="1"/>
          <w:szCs w:val="21"/>
          <w:highlight w:val="none"/>
        </w:rPr>
        <w:t>1</w:t>
      </w:r>
      <w:r>
        <w:rPr>
          <w:rFonts w:hint="eastAsia" w:ascii="宋体" w:hAnsi="宋体" w:cs="宋体"/>
          <w:color w:val="auto"/>
          <w:kern w:val="1"/>
          <w:szCs w:val="21"/>
          <w:highlight w:val="none"/>
        </w:rPr>
        <w:t>）每天上、下班时间到工地基建办或监理办签到，作为缺勤处罚依据。</w:t>
      </w:r>
    </w:p>
    <w:p w14:paraId="7E4E9A08">
      <w:pPr>
        <w:spacing w:line="400" w:lineRule="exact"/>
        <w:ind w:firstLine="420" w:firstLineChars="200"/>
        <w:rPr>
          <w:rFonts w:ascii="宋体" w:cs="宋体"/>
          <w:color w:val="auto"/>
          <w:kern w:val="1"/>
          <w:szCs w:val="21"/>
          <w:highlight w:val="none"/>
        </w:rPr>
      </w:pPr>
      <w:r>
        <w:rPr>
          <w:rFonts w:hint="eastAsia" w:ascii="宋体" w:hAnsi="宋体" w:cs="宋体"/>
          <w:color w:val="auto"/>
          <w:kern w:val="1"/>
          <w:szCs w:val="21"/>
          <w:highlight w:val="none"/>
        </w:rPr>
        <w:t>（</w:t>
      </w:r>
      <w:r>
        <w:rPr>
          <w:rFonts w:ascii="宋体" w:hAnsi="宋体" w:cs="宋体"/>
          <w:color w:val="auto"/>
          <w:kern w:val="1"/>
          <w:szCs w:val="21"/>
          <w:highlight w:val="none"/>
        </w:rPr>
        <w:t>2</w:t>
      </w:r>
      <w:r>
        <w:rPr>
          <w:rFonts w:hint="eastAsia" w:ascii="宋体" w:hAnsi="宋体" w:cs="宋体"/>
          <w:color w:val="auto"/>
          <w:kern w:val="1"/>
          <w:szCs w:val="21"/>
          <w:highlight w:val="none"/>
        </w:rPr>
        <w:t>）</w:t>
      </w:r>
      <w:r>
        <w:rPr>
          <w:rFonts w:hint="eastAsia" w:ascii="宋体" w:hAnsi="宋体" w:cs="宋体"/>
          <w:color w:val="auto"/>
          <w:kern w:val="1"/>
          <w:szCs w:val="21"/>
          <w:highlight w:val="none"/>
          <w:lang w:val="en-US" w:eastAsia="zh-CN"/>
        </w:rPr>
        <w:t>农</w:t>
      </w:r>
      <w:r>
        <w:rPr>
          <w:rFonts w:hint="eastAsia" w:ascii="宋体" w:hAnsi="宋体" w:cs="宋体"/>
          <w:color w:val="auto"/>
          <w:kern w:val="1"/>
          <w:szCs w:val="21"/>
          <w:highlight w:val="none"/>
        </w:rPr>
        <w:t>民工工资问题，按有关文件规定执行；承包人一旦发生拖欠农民工工资行为，发包人有权从工程款中直接支付农民工工资。</w:t>
      </w:r>
    </w:p>
    <w:p w14:paraId="040F85F0">
      <w:pPr>
        <w:spacing w:line="400" w:lineRule="exact"/>
        <w:ind w:firstLine="420" w:firstLineChars="200"/>
        <w:rPr>
          <w:rFonts w:ascii="宋体" w:cs="宋体"/>
          <w:color w:val="auto"/>
          <w:kern w:val="1"/>
          <w:szCs w:val="21"/>
          <w:highlight w:val="none"/>
        </w:rPr>
      </w:pPr>
      <w:r>
        <w:rPr>
          <w:rFonts w:hint="eastAsia" w:ascii="宋体" w:hAnsi="宋体" w:cs="宋体"/>
          <w:color w:val="auto"/>
          <w:kern w:val="1"/>
          <w:szCs w:val="21"/>
          <w:highlight w:val="none"/>
        </w:rPr>
        <w:t>（</w:t>
      </w:r>
      <w:r>
        <w:rPr>
          <w:rFonts w:ascii="宋体" w:hAnsi="宋体" w:cs="宋体"/>
          <w:color w:val="auto"/>
          <w:kern w:val="1"/>
          <w:szCs w:val="21"/>
          <w:highlight w:val="none"/>
        </w:rPr>
        <w:t>3</w:t>
      </w:r>
      <w:r>
        <w:rPr>
          <w:rFonts w:hint="eastAsia" w:ascii="宋体" w:hAnsi="宋体" w:cs="宋体"/>
          <w:color w:val="auto"/>
          <w:kern w:val="1"/>
          <w:szCs w:val="21"/>
          <w:highlight w:val="none"/>
        </w:rPr>
        <w:t>）工程竣工验收后，中标人须提交工程竣工图及其它有关资料；工程保修按国家有关规定执行。</w:t>
      </w:r>
    </w:p>
    <w:p w14:paraId="037DB810">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w:t>
      </w:r>
      <w:r>
        <w:rPr>
          <w:rFonts w:ascii="宋体" w:hAnsi="宋体" w:cs="宋体"/>
          <w:color w:val="auto"/>
          <w:kern w:val="1"/>
          <w:szCs w:val="21"/>
          <w:highlight w:val="none"/>
        </w:rPr>
        <w:t>4</w:t>
      </w:r>
      <w:r>
        <w:rPr>
          <w:rFonts w:hint="eastAsia" w:ascii="宋体" w:hAnsi="宋体" w:cs="宋体"/>
          <w:color w:val="auto"/>
          <w:kern w:val="1"/>
          <w:szCs w:val="21"/>
          <w:highlight w:val="none"/>
        </w:rPr>
        <w:t>）施工期间用水、用电由承包人负责；施工现场以现状为准。</w:t>
      </w:r>
    </w:p>
    <w:p w14:paraId="3D8D53B5">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5）</w:t>
      </w:r>
      <w:r>
        <w:rPr>
          <w:rFonts w:hint="eastAsia" w:ascii="宋体" w:hAnsi="宋体" w:cs="宋体"/>
          <w:color w:val="auto"/>
          <w:kern w:val="1"/>
          <w:szCs w:val="21"/>
          <w:highlight w:val="none"/>
        </w:rPr>
        <w:t>承包人必须遵守浙江省、</w:t>
      </w:r>
      <w:r>
        <w:rPr>
          <w:rFonts w:hint="eastAsia" w:ascii="宋体" w:hAnsi="宋体" w:cs="宋体"/>
          <w:color w:val="auto"/>
          <w:kern w:val="1"/>
          <w:szCs w:val="21"/>
          <w:highlight w:val="none"/>
          <w:lang w:val="en-US" w:eastAsia="zh-CN"/>
        </w:rPr>
        <w:t>衢州</w:t>
      </w:r>
      <w:r>
        <w:rPr>
          <w:rFonts w:hint="eastAsia" w:ascii="宋体" w:hAnsi="宋体" w:cs="宋体"/>
          <w:color w:val="auto"/>
          <w:kern w:val="1"/>
          <w:szCs w:val="21"/>
          <w:highlight w:val="none"/>
        </w:rPr>
        <w:t>市等地方</w:t>
      </w:r>
      <w:r>
        <w:rPr>
          <w:rFonts w:hint="eastAsia" w:ascii="宋体" w:hAnsi="宋体" w:cs="宋体"/>
          <w:color w:val="auto"/>
          <w:kern w:val="1"/>
          <w:szCs w:val="21"/>
          <w:highlight w:val="none"/>
          <w:lang w:val="en-US" w:eastAsia="zh-CN"/>
        </w:rPr>
        <w:t>性</w:t>
      </w:r>
      <w:r>
        <w:rPr>
          <w:rFonts w:hint="eastAsia" w:ascii="宋体" w:hAnsi="宋体" w:cs="宋体"/>
          <w:color w:val="auto"/>
          <w:kern w:val="1"/>
          <w:szCs w:val="21"/>
          <w:highlight w:val="none"/>
        </w:rPr>
        <w:t>法规，服从</w:t>
      </w:r>
      <w:r>
        <w:rPr>
          <w:rFonts w:hint="eastAsia" w:ascii="宋体" w:hAnsi="宋体" w:cs="宋体"/>
          <w:color w:val="auto"/>
          <w:kern w:val="1"/>
          <w:szCs w:val="21"/>
          <w:highlight w:val="none"/>
          <w:lang w:eastAsia="zh-CN"/>
        </w:rPr>
        <w:t>相关</w:t>
      </w:r>
      <w:r>
        <w:rPr>
          <w:rFonts w:hint="eastAsia" w:ascii="宋体" w:hAnsi="宋体" w:cs="宋体"/>
          <w:color w:val="auto"/>
          <w:kern w:val="1"/>
          <w:szCs w:val="21"/>
          <w:highlight w:val="none"/>
        </w:rPr>
        <w:t>部门的管理，凡涉及到承包单位的施工备案、车辆准运等有关行政或者事业许可、备案、审批等程序，均由承包人自行办理，发包人给予配合，发生的费用全部由承包人承担，包括施工备案费用、排污管理费、噪声管理费、垃圾管理费等。</w:t>
      </w:r>
    </w:p>
    <w:p w14:paraId="416894E7">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6</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本项目夜间施工照明由承包人负总责，施工期间必须做好安全保卫工作，实际施工时，在施工场内外做好警示标识，合理安排交通组织，确保安全, 降低施工噪音对周边环境正常秩序的干扰。承包人施工期间要做好现场安全防护，工程未竣工验收、交付使用前，所有非发包人原因导致的发包人、承包人或第三方人员伤亡或财产损失，由承包人负责，在报价中自行综合考虑。</w:t>
      </w:r>
    </w:p>
    <w:p w14:paraId="3D629D6A">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7</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施工现场必须配备能满足停电、电荒时施工所需要的发电机组和满足停水时必要的储水设施，该配备设施的费用及油电、网电的差价已包含在合同价内综合考虑，不再另行计取。</w:t>
      </w:r>
    </w:p>
    <w:p w14:paraId="7F8B8A1A">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8</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协助办理竣工验收备案、工程档案移交、工程项目移交的相关手续，并协助发包人进行工程移交。承包人协助组织施工过程中的专项验收、竣工验收等，相关费用含在本合同价款中，发包人不再另行支付。</w:t>
      </w:r>
    </w:p>
    <w:p w14:paraId="325BAF2A">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9</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61700AA">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10</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对于未经发包人参与检测确认的检测报告或检测结论，发包人有权不予认可，发包人如要求重新检测的，承包人须无条件配合重新检测，重新检测所需材料费用、检测费用由承包人承担。</w:t>
      </w:r>
    </w:p>
    <w:p w14:paraId="123A2425">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11</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如承包人完成的某项工作内容达不到相关</w:t>
      </w:r>
      <w:r>
        <w:rPr>
          <w:rFonts w:hint="eastAsia" w:ascii="宋体" w:hAnsi="宋体" w:cs="宋体"/>
          <w:color w:val="auto"/>
          <w:kern w:val="1"/>
          <w:szCs w:val="21"/>
          <w:highlight w:val="none"/>
          <w:lang w:val="en-US" w:eastAsia="zh-CN"/>
        </w:rPr>
        <w:t>标准</w:t>
      </w:r>
      <w:r>
        <w:rPr>
          <w:rFonts w:hint="eastAsia" w:ascii="宋体" w:hAnsi="宋体" w:cs="宋体"/>
          <w:color w:val="auto"/>
          <w:kern w:val="1"/>
          <w:szCs w:val="21"/>
          <w:highlight w:val="none"/>
        </w:rPr>
        <w:t>要求，在监理方下达整改通知后仍不执行，则发包人有权委托第三方完成该项工作，并将相应费用从承包人的工程款中扣除，由此造成的损失和后果由承包人</w:t>
      </w:r>
      <w:r>
        <w:rPr>
          <w:rFonts w:hint="eastAsia" w:ascii="宋体" w:hAnsi="宋体" w:cs="宋体"/>
          <w:color w:val="auto"/>
          <w:kern w:val="1"/>
          <w:szCs w:val="21"/>
          <w:highlight w:val="none"/>
          <w:lang w:val="en-US" w:eastAsia="zh-CN"/>
        </w:rPr>
        <w:t>自</w:t>
      </w:r>
      <w:r>
        <w:rPr>
          <w:rFonts w:hint="eastAsia" w:ascii="宋体" w:hAnsi="宋体" w:cs="宋体"/>
          <w:color w:val="auto"/>
          <w:kern w:val="1"/>
          <w:szCs w:val="21"/>
          <w:highlight w:val="none"/>
        </w:rPr>
        <w:t>行承担。</w:t>
      </w:r>
    </w:p>
    <w:p w14:paraId="38F28A91">
      <w:pPr>
        <w:spacing w:line="400" w:lineRule="exact"/>
        <w:ind w:firstLine="420" w:firstLineChars="200"/>
        <w:rPr>
          <w:rFonts w:hint="eastAsia" w:ascii="宋体" w:hAnsi="宋体" w:cs="宋体"/>
          <w:color w:val="auto"/>
          <w:kern w:val="1"/>
          <w:szCs w:val="21"/>
          <w:highlight w:val="none"/>
          <w:lang w:eastAsia="zh-CN"/>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12</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与本工程有关的临时设施场地由承包人自行解决，费用包含在合同总价中，承包人在投标时综合考虑。</w:t>
      </w:r>
      <w:r>
        <w:rPr>
          <w:rFonts w:hint="eastAsia" w:ascii="宋体" w:hAnsi="宋体" w:cs="宋体"/>
          <w:color w:val="auto"/>
          <w:kern w:val="1"/>
          <w:szCs w:val="21"/>
          <w:highlight w:val="none"/>
          <w:lang w:eastAsia="zh-CN"/>
        </w:rPr>
        <w:t>雨季施工的排水费用及围堰等临时设施费用</w:t>
      </w:r>
      <w:r>
        <w:rPr>
          <w:rFonts w:hint="eastAsia" w:ascii="宋体" w:hAnsi="宋体" w:cs="宋体"/>
          <w:color w:val="auto"/>
          <w:kern w:val="1"/>
          <w:szCs w:val="21"/>
          <w:highlight w:val="none"/>
        </w:rPr>
        <w:t>包含在合同总价中，承包人</w:t>
      </w:r>
      <w:r>
        <w:rPr>
          <w:rFonts w:hint="eastAsia" w:ascii="宋体" w:hAnsi="宋体" w:cs="宋体"/>
          <w:color w:val="auto"/>
          <w:kern w:val="1"/>
          <w:szCs w:val="21"/>
          <w:highlight w:val="none"/>
          <w:lang w:eastAsia="zh-CN"/>
        </w:rPr>
        <w:t>需</w:t>
      </w:r>
      <w:r>
        <w:rPr>
          <w:rFonts w:hint="eastAsia" w:ascii="宋体" w:hAnsi="宋体" w:cs="宋体"/>
          <w:color w:val="auto"/>
          <w:kern w:val="1"/>
          <w:szCs w:val="21"/>
          <w:highlight w:val="none"/>
        </w:rPr>
        <w:t>综合考虑</w:t>
      </w:r>
      <w:r>
        <w:rPr>
          <w:rFonts w:hint="eastAsia" w:ascii="宋体" w:hAnsi="宋体" w:cs="宋体"/>
          <w:color w:val="auto"/>
          <w:kern w:val="1"/>
          <w:szCs w:val="21"/>
          <w:highlight w:val="none"/>
          <w:lang w:eastAsia="zh-CN"/>
        </w:rPr>
        <w:t>。</w:t>
      </w:r>
    </w:p>
    <w:p w14:paraId="5C5CE822">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13</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已竣工工程未交付之前，承包人负责已完工程的保护工作，保护期间发生损坏，责任方自费予以修复至符合验收条件。</w:t>
      </w:r>
    </w:p>
    <w:p w14:paraId="17D29D74">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14</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重大活动期间以及发包人需要的时间段内，可能对施工做出某些限制和配合要求，承包人应按照要求做出必要的配合，并承担有可能因此而引起工效降低所需增加的费用。相关费用含在合同价款中。</w:t>
      </w:r>
    </w:p>
    <w:p w14:paraId="41E91204">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lang w:val="en-US" w:eastAsia="zh-CN"/>
        </w:rPr>
        <w:t>15</w:t>
      </w:r>
      <w:r>
        <w:rPr>
          <w:rFonts w:hint="eastAsia" w:ascii="宋体" w:hAnsi="宋体" w:cs="宋体"/>
          <w:color w:val="auto"/>
          <w:kern w:val="1"/>
          <w:szCs w:val="21"/>
          <w:highlight w:val="none"/>
          <w:lang w:eastAsia="zh-CN"/>
        </w:rPr>
        <w:t>）</w:t>
      </w:r>
      <w:r>
        <w:rPr>
          <w:rFonts w:hint="eastAsia" w:ascii="宋体" w:hAnsi="宋体" w:cs="宋体"/>
          <w:color w:val="auto"/>
          <w:kern w:val="1"/>
          <w:szCs w:val="21"/>
          <w:highlight w:val="none"/>
        </w:rPr>
        <w:t>本项目在施工过程中存在与其他项目交叉施工的情况，承包人须做好协调工作，否则造成工期延误的，由承包人自行承担。</w:t>
      </w:r>
    </w:p>
    <w:p w14:paraId="39F7DE9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4.2履约担保</w:t>
      </w:r>
    </w:p>
    <w:p w14:paraId="5447216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承包人是否提供履约担保：</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是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C84C711">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Arial" w:eastAsia="Arial" w:cs="宋体"/>
          <w:snapToGrid w:val="0"/>
          <w:color w:val="000000" w:themeColor="text1"/>
          <w:kern w:val="1"/>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承包人提供履约担保的形式、金额及期限：</w:t>
      </w:r>
      <w:r>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t>招标文件第二章“投标人须知”前附表第7.3.1</w:t>
      </w:r>
    </w:p>
    <w:p w14:paraId="62EE75F4">
      <w:pPr>
        <w:pStyle w:val="64"/>
        <w:keepNext w:val="0"/>
        <w:keepLines w:val="0"/>
        <w:pageBreakBefore w:val="0"/>
        <w:overflowPunct/>
        <w:bidi w:val="0"/>
        <w:spacing w:line="400" w:lineRule="exact"/>
        <w:ind w:firstLine="422" w:firstLineChars="200"/>
        <w:contextualSpacing/>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4.3工程总承包项目经理</w:t>
      </w:r>
    </w:p>
    <w:p w14:paraId="0766FF0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4.3.1 工程总承包项目经理姓名：</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71860C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执业资格或职称类型：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29662D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执业资格证或职称证号码：</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5A7E9A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联系电话：</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503DBF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电子邮箱：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B18C7DD">
      <w:pPr>
        <w:keepNext w:val="0"/>
        <w:keepLines w:val="0"/>
        <w:pageBreakBefore w:val="0"/>
        <w:widowControl/>
        <w:kinsoku w:val="0"/>
        <w:overflowPunct/>
        <w:autoSpaceDE w:val="0"/>
        <w:autoSpaceDN w:val="0"/>
        <w:bidi w:val="0"/>
        <w:adjustRightInd w:val="0"/>
        <w:snapToGrid w:val="0"/>
        <w:spacing w:line="400" w:lineRule="exact"/>
        <w:ind w:firstLine="420" w:firstLineChars="200"/>
        <w:contextualSpacing/>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通信地址：</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D195AD8">
      <w:pPr>
        <w:wordWrap w:val="0"/>
        <w:spacing w:line="400" w:lineRule="exact"/>
        <w:ind w:firstLine="420" w:firstLineChars="200"/>
        <w:contextualSpacing/>
        <w:rPr>
          <w:rFonts w:hint="eastAsia" w:ascii="宋体" w:hAnsi="宋体" w:eastAsia="Arial" w:cs="宋体"/>
          <w:snapToGrid w:val="0"/>
          <w:color w:val="auto"/>
          <w:kern w:val="0"/>
          <w:szCs w:val="21"/>
          <w:highlight w:val="none"/>
          <w:lang w:eastAsia="en-US"/>
        </w:rPr>
      </w:pPr>
      <w:r>
        <w:rPr>
          <w:rFonts w:hint="eastAsia" w:ascii="宋体" w:hAnsi="宋体" w:eastAsia="Arial" w:cs="宋体"/>
          <w:snapToGrid w:val="0"/>
          <w:color w:val="auto"/>
          <w:kern w:val="0"/>
          <w:szCs w:val="21"/>
          <w:highlight w:val="none"/>
          <w:lang w:eastAsia="en-US"/>
        </w:rPr>
        <w:t>承包人未提交劳动合同，以及没有为工程总承包项目经理缴纳社会保险证明的违约责任：</w:t>
      </w:r>
      <w:r>
        <w:rPr>
          <w:color w:val="auto"/>
          <w:highlight w:val="none"/>
          <w:u w:val="single"/>
        </w:rPr>
        <w:t>发包人有权要求更换项目经理，由此增加的费用和（或）延误的工期由承包人承担</w:t>
      </w:r>
      <w:r>
        <w:rPr>
          <w:rFonts w:hint="eastAsia"/>
          <w:color w:val="auto"/>
          <w:highlight w:val="none"/>
          <w:u w:val="single"/>
        </w:rPr>
        <w:t>，并承担违约责任</w:t>
      </w:r>
      <w:r>
        <w:rPr>
          <w:rFonts w:hint="eastAsia" w:ascii="宋体" w:hAnsi="宋体" w:cs="宋体"/>
          <w:color w:val="auto"/>
          <w:szCs w:val="21"/>
          <w:highlight w:val="none"/>
        </w:rPr>
        <w:t>。</w:t>
      </w:r>
    </w:p>
    <w:p w14:paraId="69B04279">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4.3.2 工程总承包项目经理每月在现场的时间要求：</w:t>
      </w:r>
      <w:r>
        <w:rPr>
          <w:rFonts w:hint="eastAsia" w:ascii="宋体" w:hAnsi="宋体" w:cs="宋体"/>
          <w:color w:val="auto"/>
          <w:szCs w:val="21"/>
          <w:highlight w:val="none"/>
          <w:u w:val="single"/>
        </w:rPr>
        <w:t>不少于 22日</w:t>
      </w:r>
      <w:r>
        <w:rPr>
          <w:rFonts w:hint="eastAsia" w:ascii="宋体" w:hAnsi="宋体" w:cs="宋体"/>
          <w:color w:val="auto"/>
          <w:szCs w:val="21"/>
          <w:highlight w:val="none"/>
        </w:rPr>
        <w:t>。</w:t>
      </w:r>
    </w:p>
    <w:p w14:paraId="3BEC17B3">
      <w:pPr>
        <w:pStyle w:val="22"/>
        <w:widowControl w:val="0"/>
        <w:topLinePunct/>
        <w:spacing w:beforeAutospacing="0" w:afterAutospacing="0" w:line="400" w:lineRule="exact"/>
        <w:ind w:firstLine="420" w:firstLineChars="200"/>
        <w:jc w:val="both"/>
        <w:rPr>
          <w:rFonts w:hint="eastAsia" w:eastAsia="宋体" w:cs="宋体"/>
          <w:color w:val="auto"/>
          <w:sz w:val="21"/>
          <w:szCs w:val="21"/>
          <w:highlight w:val="none"/>
          <w:lang w:eastAsia="zh-CN"/>
        </w:rPr>
      </w:pPr>
      <w:r>
        <w:rPr>
          <w:rFonts w:hint="eastAsia" w:cs="宋体"/>
          <w:color w:val="auto"/>
          <w:sz w:val="21"/>
          <w:szCs w:val="21"/>
          <w:highlight w:val="none"/>
        </w:rPr>
        <w:t>工程总承包项目经理未经批准擅自离开施工现场的违约责任：</w:t>
      </w:r>
      <w:r>
        <w:rPr>
          <w:rFonts w:hint="eastAsia" w:cs="宋体"/>
          <w:b/>
          <w:bCs/>
          <w:color w:val="auto"/>
          <w:sz w:val="21"/>
          <w:szCs w:val="21"/>
          <w:highlight w:val="none"/>
          <w:u w:val="single"/>
        </w:rPr>
        <w:t>月到岗天数不足合同约定的天数，工程总承包项目经理每天计取</w:t>
      </w:r>
      <w:r>
        <w:rPr>
          <w:rFonts w:hint="eastAsia" w:cs="宋体"/>
          <w:b/>
          <w:bCs/>
          <w:color w:val="auto"/>
          <w:sz w:val="21"/>
          <w:szCs w:val="21"/>
          <w:highlight w:val="none"/>
          <w:u w:val="single"/>
          <w:lang w:val="en-US" w:eastAsia="zh-CN"/>
        </w:rPr>
        <w:t>1</w:t>
      </w:r>
      <w:r>
        <w:rPr>
          <w:rFonts w:hint="eastAsia" w:cs="宋体"/>
          <w:b/>
          <w:bCs/>
          <w:color w:val="auto"/>
          <w:sz w:val="21"/>
          <w:szCs w:val="21"/>
          <w:highlight w:val="none"/>
          <w:u w:val="single"/>
        </w:rPr>
        <w:t>000元的违约金，从承包人的项目班子到位方面履约保证金中扣除，当履约保证金或履约担保保函金额不足时，承包人须在7个工作日内足额补齐。不能到岗或累计三个月达不到要求的，发包人有权终止合同，没收该部分全部履约保证金，同时由承包人赔偿发包人由此造成的损失。另遇到工程检查、验收或参观等活动时，工程总承包项目经理未经发包人同意不得离开施工现场，如有违反，每次计取</w:t>
      </w:r>
      <w:r>
        <w:rPr>
          <w:rFonts w:hint="eastAsia" w:cs="宋体"/>
          <w:b/>
          <w:bCs/>
          <w:color w:val="auto"/>
          <w:sz w:val="21"/>
          <w:szCs w:val="21"/>
          <w:highlight w:val="none"/>
          <w:u w:val="single"/>
          <w:lang w:val="en-US" w:eastAsia="zh-CN"/>
        </w:rPr>
        <w:t>1</w:t>
      </w:r>
      <w:r>
        <w:rPr>
          <w:rFonts w:hint="eastAsia" w:cs="宋体"/>
          <w:b/>
          <w:bCs/>
          <w:color w:val="auto"/>
          <w:sz w:val="21"/>
          <w:szCs w:val="21"/>
          <w:highlight w:val="none"/>
          <w:u w:val="single"/>
        </w:rPr>
        <w:t>000元的违约金，从承包人的该部分履约保证金中扣除，当履约保证金或履约担保保函金额不足时，承包人须在7个工作日内足额补齐</w:t>
      </w:r>
      <w:r>
        <w:rPr>
          <w:rFonts w:hint="eastAsia" w:cs="宋体"/>
          <w:b/>
          <w:bCs/>
          <w:color w:val="auto"/>
          <w:sz w:val="21"/>
          <w:szCs w:val="21"/>
          <w:highlight w:val="none"/>
          <w:u w:val="single"/>
          <w:lang w:eastAsia="zh-CN"/>
        </w:rPr>
        <w:t>。</w:t>
      </w:r>
    </w:p>
    <w:p w14:paraId="7A655480">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4.3.3 承包人对工程总承包项目经理的授权范围:</w:t>
      </w:r>
      <w:r>
        <w:rPr>
          <w:rFonts w:hint="eastAsia" w:ascii="宋体" w:hAnsi="宋体" w:cs="宋体"/>
          <w:color w:val="auto"/>
          <w:szCs w:val="21"/>
          <w:highlight w:val="none"/>
          <w:u w:val="single"/>
        </w:rPr>
        <w:t>代表承包人承担本项目工程总承包的各项权利、义务和责任</w:t>
      </w:r>
      <w:r>
        <w:rPr>
          <w:rFonts w:hint="eastAsia" w:ascii="宋体" w:hAnsi="宋体" w:cs="宋体"/>
          <w:color w:val="auto"/>
          <w:szCs w:val="21"/>
          <w:highlight w:val="none"/>
        </w:rPr>
        <w:t>。</w:t>
      </w:r>
    </w:p>
    <w:p w14:paraId="2A1DA2E4">
      <w:pPr>
        <w:keepNext w:val="0"/>
        <w:keepLines w:val="0"/>
        <w:pageBreakBefore w:val="0"/>
        <w:widowControl w:val="0"/>
        <w:kinsoku/>
        <w:wordWrap/>
        <w:overflowPunct/>
        <w:topLinePunct/>
        <w:autoSpaceDE w:val="0"/>
        <w:autoSpaceDN w:val="0"/>
        <w:bidi w:val="0"/>
        <w:adjustRightInd w:val="0"/>
        <w:snapToGrid w:val="0"/>
        <w:spacing w:beforeAutospacing="0" w:afterAutospacing="0" w:line="400" w:lineRule="exact"/>
        <w:ind w:firstLine="420" w:firstLineChars="200"/>
        <w:jc w:val="both"/>
        <w:textAlignment w:val="baseline"/>
        <w:rPr>
          <w:rFonts w:ascii="宋体" w:hAnsi="宋体" w:eastAsia="Arial" w:cs="宋体"/>
          <w:b/>
          <w:bCs/>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b/>
          <w:bCs/>
          <w:snapToGrid w:val="0"/>
          <w:color w:val="000000" w:themeColor="text1"/>
          <w:kern w:val="0"/>
          <w:sz w:val="21"/>
          <w:szCs w:val="21"/>
          <w:highlight w:val="none"/>
          <w:lang w:val="en-US" w:eastAsia="en-US" w:bidi="ar-SA"/>
          <w14:textFill>
            <w14:solidFill>
              <w14:schemeClr w14:val="tx1"/>
            </w14:solidFill>
          </w14:textFill>
        </w:rPr>
        <w:t>4.3.4 工程总承包项目经理的更换</w:t>
      </w:r>
    </w:p>
    <w:p w14:paraId="6B789F6E">
      <w:pPr>
        <w:keepNext w:val="0"/>
        <w:keepLines w:val="0"/>
        <w:pageBreakBefore w:val="0"/>
        <w:widowControl w:val="0"/>
        <w:kinsoku/>
        <w:wordWrap/>
        <w:overflowPunct/>
        <w:topLinePunct/>
        <w:autoSpaceDE w:val="0"/>
        <w:autoSpaceDN w:val="0"/>
        <w:bidi w:val="0"/>
        <w:adjustRightInd w:val="0"/>
        <w:snapToGrid w:val="0"/>
        <w:spacing w:beforeAutospacing="0" w:afterAutospacing="0" w:line="400" w:lineRule="exact"/>
        <w:ind w:firstLine="420" w:firstLineChars="200"/>
        <w:jc w:val="both"/>
        <w:textAlignment w:val="baseline"/>
        <w:rPr>
          <w:rFonts w:ascii="宋体" w:hAnsi="宋体" w:eastAsia="Arial" w:cs="宋体"/>
          <w:snapToGrid w:val="0"/>
          <w:color w:val="auto"/>
          <w:kern w:val="0"/>
          <w:sz w:val="21"/>
          <w:szCs w:val="21"/>
          <w:highlight w:val="none"/>
          <w:u w:val="single"/>
          <w:lang w:val="en-US" w:eastAsia="en-US" w:bidi="ar-SA"/>
        </w:rPr>
      </w:pPr>
      <w:r>
        <w:rPr>
          <w:rFonts w:hint="eastAsia" w:ascii="宋体" w:hAnsi="宋体" w:eastAsia="Arial" w:cs="宋体"/>
          <w:b/>
          <w:bCs/>
          <w:snapToGrid w:val="0"/>
          <w:color w:val="auto"/>
          <w:kern w:val="0"/>
          <w:sz w:val="21"/>
          <w:szCs w:val="21"/>
          <w:highlight w:val="none"/>
          <w:lang w:val="en-US" w:eastAsia="en-US" w:bidi="ar-SA"/>
        </w:rPr>
        <w:t>特殊情况须更换的情形：</w:t>
      </w:r>
      <w:r>
        <w:rPr>
          <w:rFonts w:hint="eastAsia" w:ascii="宋体" w:hAnsi="宋体" w:eastAsia="Arial" w:cs="宋体"/>
          <w:snapToGrid w:val="0"/>
          <w:color w:val="auto"/>
          <w:kern w:val="0"/>
          <w:sz w:val="21"/>
          <w:szCs w:val="21"/>
          <w:highlight w:val="none"/>
          <w:u w:val="single"/>
          <w:lang w:val="en-US" w:eastAsia="en-US" w:bidi="ar-SA"/>
        </w:rPr>
        <w:t>工程总承包项目经理到位后因特殊情况（如生育、生病长期住院、终止劳动合同关系、意外身故、发生重大安全事故不适合再任、被责令停止执业、羁押或判刑情形等情况）无法继续担任工程总承包项目经理，承包人应向发包人提出书面申请，报发包人同意，并通过项目所在地建设主管部门批准、备案后方可更换，</w:t>
      </w:r>
      <w:r>
        <w:rPr>
          <w:rFonts w:hint="eastAsia" w:ascii="宋体" w:hAnsi="宋体" w:eastAsia="Arial" w:cs="Arial"/>
          <w:b/>
          <w:snapToGrid w:val="0"/>
          <w:color w:val="auto"/>
          <w:kern w:val="0"/>
          <w:sz w:val="21"/>
          <w:szCs w:val="21"/>
          <w:highlight w:val="none"/>
          <w:lang w:val="en-US" w:eastAsia="en-US" w:bidi="ar-SA"/>
        </w:rPr>
        <w:t>且每次更换处</w:t>
      </w:r>
      <w:r>
        <w:rPr>
          <w:rFonts w:hint="eastAsia" w:ascii="宋体" w:hAnsi="宋体" w:cs="Arial"/>
          <w:b/>
          <w:snapToGrid w:val="0"/>
          <w:color w:val="auto"/>
          <w:kern w:val="0"/>
          <w:sz w:val="21"/>
          <w:szCs w:val="21"/>
          <w:highlight w:val="none"/>
          <w:lang w:val="en-US" w:eastAsia="zh-CN" w:bidi="ar-SA"/>
        </w:rPr>
        <w:t>5</w:t>
      </w:r>
      <w:r>
        <w:rPr>
          <w:rFonts w:hint="eastAsia" w:ascii="宋体" w:hAnsi="宋体" w:eastAsia="Arial" w:cs="Arial"/>
          <w:b/>
          <w:snapToGrid w:val="0"/>
          <w:color w:val="auto"/>
          <w:kern w:val="0"/>
          <w:sz w:val="21"/>
          <w:szCs w:val="21"/>
          <w:highlight w:val="none"/>
          <w:lang w:val="en-US" w:eastAsia="en-US" w:bidi="ar-SA"/>
        </w:rPr>
        <w:t>万元/人次的更换工程总承包项目经理违约金，</w:t>
      </w:r>
      <w:r>
        <w:rPr>
          <w:rFonts w:hint="eastAsia" w:ascii="宋体" w:hAnsi="宋体" w:eastAsia="Arial" w:cs="宋体"/>
          <w:snapToGrid w:val="0"/>
          <w:color w:val="auto"/>
          <w:kern w:val="0"/>
          <w:sz w:val="21"/>
          <w:szCs w:val="21"/>
          <w:highlight w:val="none"/>
          <w:u w:val="single"/>
          <w:lang w:val="en-US" w:eastAsia="en-US" w:bidi="ar-SA"/>
        </w:rPr>
        <w:t>更换到位的工程总承包项目经理资格、业绩等条件应不低于原工程总承包项目经理，</w:t>
      </w:r>
      <w:r>
        <w:rPr>
          <w:rFonts w:hint="eastAsia" w:ascii="宋体" w:hAnsi="宋体" w:eastAsia="Arial" w:cs="Arial"/>
          <w:b/>
          <w:snapToGrid w:val="0"/>
          <w:color w:val="auto"/>
          <w:kern w:val="0"/>
          <w:sz w:val="21"/>
          <w:szCs w:val="21"/>
          <w:highlight w:val="none"/>
          <w:lang w:val="en-US" w:eastAsia="en-US" w:bidi="ar-SA"/>
        </w:rPr>
        <w:t>及时缴纳相应的处罚金至业主单位或从下期进度款中予以扣除相应处罚金，由此造成的一切直接和间接损失由承包人承担。</w:t>
      </w:r>
    </w:p>
    <w:p w14:paraId="723DBD8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hint="eastAsia" w:ascii="宋体" w:hAnsi="宋体" w:eastAsia="Arial" w:cs="宋体"/>
          <w:b/>
          <w:bCs/>
          <w:snapToGrid w:val="0"/>
          <w:color w:val="auto"/>
          <w:kern w:val="0"/>
          <w:szCs w:val="21"/>
          <w:highlight w:val="none"/>
          <w:lang w:eastAsia="en-US"/>
        </w:rPr>
        <w:t>承包人擅自更换工程总承包项目经理的违约责任：</w:t>
      </w:r>
      <w:r>
        <w:rPr>
          <w:rFonts w:hint="eastAsia" w:ascii="宋体" w:hAnsi="宋体" w:eastAsia="Arial" w:cs="宋体"/>
          <w:snapToGrid w:val="0"/>
          <w:color w:val="auto"/>
          <w:kern w:val="0"/>
          <w:szCs w:val="21"/>
          <w:highlight w:val="none"/>
          <w:u w:val="single"/>
          <w:lang w:eastAsia="en-US"/>
        </w:rPr>
        <w:t>承包人更换项目经理应事先征得发包人同意</w:t>
      </w:r>
      <w:r>
        <w:rPr>
          <w:rFonts w:hint="eastAsia" w:ascii="宋体" w:hAnsi="宋体" w:eastAsia="Arial" w:cs="宋体"/>
          <w:bCs/>
          <w:snapToGrid w:val="0"/>
          <w:color w:val="auto"/>
          <w:kern w:val="0"/>
          <w:szCs w:val="21"/>
          <w:highlight w:val="none"/>
          <w:u w:val="single"/>
          <w:lang w:eastAsia="en-US"/>
        </w:rPr>
        <w:t>，</w:t>
      </w:r>
      <w:r>
        <w:rPr>
          <w:rFonts w:hint="eastAsia" w:ascii="宋体" w:hAnsi="宋体" w:eastAsia="Arial" w:cs="宋体"/>
          <w:snapToGrid w:val="0"/>
          <w:color w:val="auto"/>
          <w:kern w:val="0"/>
          <w:szCs w:val="21"/>
          <w:highlight w:val="none"/>
          <w:u w:val="single"/>
          <w:lang w:eastAsia="en-US"/>
        </w:rPr>
        <w:t>并应在更换14</w:t>
      </w:r>
      <w:r>
        <w:rPr>
          <w:rFonts w:hint="eastAsia" w:ascii="宋体" w:hAnsi="宋体" w:eastAsia="宋体" w:cs="宋体"/>
          <w:snapToGrid w:val="0"/>
          <w:color w:val="auto"/>
          <w:kern w:val="0"/>
          <w:szCs w:val="21"/>
          <w:highlight w:val="none"/>
          <w:u w:val="single"/>
          <w:lang w:eastAsia="zh-CN"/>
        </w:rPr>
        <w:t>日</w:t>
      </w:r>
      <w:r>
        <w:rPr>
          <w:rFonts w:hint="eastAsia" w:ascii="宋体" w:hAnsi="宋体" w:eastAsia="Arial" w:cs="宋体"/>
          <w:snapToGrid w:val="0"/>
          <w:color w:val="auto"/>
          <w:kern w:val="0"/>
          <w:szCs w:val="21"/>
          <w:highlight w:val="none"/>
          <w:u w:val="single"/>
          <w:lang w:eastAsia="en-US"/>
        </w:rPr>
        <w:t>前将拟更换的项目经理的姓名和详细资料提交发包人，</w:t>
      </w:r>
      <w:r>
        <w:rPr>
          <w:rFonts w:hint="eastAsia" w:ascii="宋体" w:hAnsi="宋体" w:eastAsia="Arial" w:cs="宋体"/>
          <w:bCs/>
          <w:snapToGrid w:val="0"/>
          <w:color w:val="auto"/>
          <w:kern w:val="0"/>
          <w:szCs w:val="21"/>
          <w:highlight w:val="none"/>
          <w:u w:val="single"/>
          <w:lang w:eastAsia="en-US"/>
        </w:rPr>
        <w:t>未经发包人及建设行政主管部门书面同意，擅自更换的将扣除违约金</w:t>
      </w:r>
      <w:r>
        <w:rPr>
          <w:rFonts w:hint="eastAsia" w:ascii="宋体" w:hAnsi="宋体" w:cs="宋体"/>
          <w:bCs/>
          <w:snapToGrid w:val="0"/>
          <w:color w:val="auto"/>
          <w:kern w:val="0"/>
          <w:szCs w:val="21"/>
          <w:highlight w:val="none"/>
          <w:u w:val="single"/>
          <w:lang w:val="en-US" w:eastAsia="zh-CN"/>
        </w:rPr>
        <w:t>10</w:t>
      </w:r>
      <w:r>
        <w:rPr>
          <w:rFonts w:hint="eastAsia" w:ascii="宋体" w:hAnsi="宋体" w:eastAsia="Arial" w:cs="宋体"/>
          <w:bCs/>
          <w:snapToGrid w:val="0"/>
          <w:color w:val="auto"/>
          <w:kern w:val="0"/>
          <w:szCs w:val="21"/>
          <w:highlight w:val="none"/>
          <w:u w:val="single"/>
          <w:lang w:eastAsia="en-US"/>
        </w:rPr>
        <w:t>万元/人次，且发包人有权终止合同</w:t>
      </w:r>
      <w:r>
        <w:rPr>
          <w:rFonts w:hint="eastAsia" w:ascii="宋体" w:hAnsi="宋体" w:eastAsia="Arial" w:cs="宋体"/>
          <w:snapToGrid w:val="0"/>
          <w:color w:val="auto"/>
          <w:kern w:val="0"/>
          <w:szCs w:val="21"/>
          <w:highlight w:val="none"/>
          <w:u w:val="single"/>
          <w:lang w:eastAsia="en-US"/>
        </w:rPr>
        <w:t>，因此给发包人造成损失的，承包人还应承担赔偿责任。</w:t>
      </w:r>
    </w:p>
    <w:p w14:paraId="57C7753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4.3.5 承包人无正当理由拒绝更换工程总承包项目经理的违约责任:</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发包人要求承包人更换工程总承包项目经理，若承包人未在规定时间内更换到位的，逾期更换的天数视缺勤处理；承包人无正当理由拒绝更换或第一次更换后的人员不符合发包人要求，发包人要求承包人再次更换的，计取承包人违约金</w:t>
      </w:r>
      <w:r>
        <w:rPr>
          <w:rFonts w:hint="eastAsia" w:ascii="宋体" w:hAnsi="宋体" w:cs="宋体"/>
          <w:snapToGrid w:val="0"/>
          <w:color w:val="C00000"/>
          <w:kern w:val="0"/>
          <w:szCs w:val="21"/>
          <w:highlight w:val="none"/>
          <w:u w:val="single"/>
          <w:lang w:val="en-US" w:eastAsia="zh-CN"/>
        </w:rPr>
        <w:t>10</w:t>
      </w:r>
      <w:r>
        <w:rPr>
          <w:rFonts w:hint="eastAsia" w:ascii="宋体" w:hAnsi="宋体" w:eastAsia="Arial" w:cs="宋体"/>
          <w:snapToGrid w:val="0"/>
          <w:color w:val="C00000"/>
          <w:kern w:val="0"/>
          <w:szCs w:val="21"/>
          <w:highlight w:val="none"/>
          <w:u w:val="single"/>
          <w:lang w:eastAsia="en-US"/>
        </w:rPr>
        <w:t>万元</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，由承包人承担由此原因造成的损失，且发包人有权单方解除合同，发包人选择解除合同的，承包人应立即无条件退出施工现场，未支付的工程价款折抵承包人应承担的违约赔偿责任。</w:t>
      </w:r>
    </w:p>
    <w:p w14:paraId="128231B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违约金从承包人的履约保证金中扣除，不足部分发包人有权在进度款中直接扣除，当履约保证金或履约担保保函金额不足时，承包人须在7个工作日内足额补齐，否则发包人将不予支付工程进度款。</w:t>
      </w:r>
    </w:p>
    <w:p w14:paraId="03310C61">
      <w:pPr>
        <w:pStyle w:val="64"/>
        <w:keepNext w:val="0"/>
        <w:keepLines w:val="0"/>
        <w:pageBreakBefore w:val="0"/>
        <w:overflowPunct/>
        <w:bidi w:val="0"/>
        <w:spacing w:line="400" w:lineRule="exact"/>
        <w:ind w:firstLine="422" w:firstLineChars="200"/>
        <w:contextualSpacing/>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4.4 承包人人员</w:t>
      </w:r>
    </w:p>
    <w:p w14:paraId="04F6BB5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4.4.1 人员安排</w:t>
      </w:r>
    </w:p>
    <w:p w14:paraId="230C305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承包人提交项目管理机构及施工现场人员安排的报告的期限：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签订合同时</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18EA15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承包人提交关键人员信息及注册执业资格等证明其具备担任关键人员能力的相关文件的期限：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签订合同时</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743FAC8">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4.4.2 关键人员更换：</w:t>
      </w:r>
    </w:p>
    <w:p w14:paraId="0E080A53">
      <w:pPr>
        <w:keepNext w:val="0"/>
        <w:keepLines w:val="0"/>
        <w:pageBreakBefore w:val="0"/>
        <w:widowControl w:val="0"/>
        <w:kinsoku w:val="0"/>
        <w:overflowPunct/>
        <w:topLinePunct/>
        <w:autoSpaceDE w:val="0"/>
        <w:autoSpaceDN w:val="0"/>
        <w:bidi w:val="0"/>
        <w:adjustRightInd w:val="0"/>
        <w:snapToGrid w:val="0"/>
        <w:spacing w:beforeAutospacing="0" w:afterAutospacing="0" w:line="400" w:lineRule="exact"/>
        <w:ind w:firstLine="420" w:firstLineChars="200"/>
        <w:jc w:val="both"/>
        <w:textAlignment w:val="baseline"/>
        <w:rPr>
          <w:rFonts w:ascii="宋体" w:hAnsi="宋体" w:eastAsia="Arial" w:cs="宋体"/>
          <w:b/>
          <w:bCs/>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b/>
          <w:bCs/>
          <w:snapToGrid w:val="0"/>
          <w:color w:val="000000" w:themeColor="text1"/>
          <w:kern w:val="0"/>
          <w:sz w:val="21"/>
          <w:szCs w:val="21"/>
          <w:highlight w:val="none"/>
          <w:lang w:val="en-US" w:eastAsia="en-US" w:bidi="ar-SA"/>
          <w14:textFill>
            <w14:solidFill>
              <w14:schemeClr w14:val="tx1"/>
            </w14:solidFill>
          </w14:textFill>
        </w:rPr>
        <w:t>1）工程设计负责人、工程施工负责人</w:t>
      </w:r>
    </w:p>
    <w:p w14:paraId="6A660FB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①特殊情况须更换的情形：工程设计负责人、</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工程施工负责人到位后因特殊情况（如生育、生病长期住院、终止劳动合同关系、意外身故、发生重大安全事故不适合再任、被责令停止执业、羁押或判刑情形等情况）无法继续担任工程设计负责人、工程施工负责人，承包人应向发包人提出书面申请，报发包人同意，并通过项目所在地建设主管部门批准、备案后方可更换，</w:t>
      </w:r>
      <w:r>
        <w:rPr>
          <w:rFonts w:hint="eastAsia" w:ascii="宋体" w:hAnsi="宋体" w:eastAsia="Arial" w:cs="Arial"/>
          <w:b/>
          <w:snapToGrid w:val="0"/>
          <w:color w:val="auto"/>
          <w:kern w:val="0"/>
          <w:szCs w:val="21"/>
          <w:highlight w:val="none"/>
          <w:lang w:eastAsia="en-US"/>
        </w:rPr>
        <w:t>且每次更换处</w:t>
      </w:r>
      <w:r>
        <w:rPr>
          <w:rFonts w:hint="eastAsia" w:ascii="宋体" w:hAnsi="宋体" w:cs="Arial"/>
          <w:b/>
          <w:snapToGrid w:val="0"/>
          <w:color w:val="auto"/>
          <w:kern w:val="0"/>
          <w:szCs w:val="21"/>
          <w:highlight w:val="none"/>
          <w:lang w:val="en-US" w:eastAsia="zh-CN"/>
        </w:rPr>
        <w:t>5</w:t>
      </w:r>
      <w:r>
        <w:rPr>
          <w:rFonts w:hint="eastAsia" w:ascii="宋体" w:hAnsi="宋体" w:eastAsia="Arial" w:cs="Arial"/>
          <w:b/>
          <w:snapToGrid w:val="0"/>
          <w:color w:val="auto"/>
          <w:kern w:val="0"/>
          <w:szCs w:val="21"/>
          <w:highlight w:val="none"/>
          <w:lang w:eastAsia="en-US"/>
        </w:rPr>
        <w:t>万元/人次的更换工程设计负</w:t>
      </w:r>
      <w:r>
        <w:rPr>
          <w:rFonts w:hint="eastAsia" w:ascii="宋体" w:hAnsi="宋体" w:eastAsia="Arial" w:cs="Arial"/>
          <w:b/>
          <w:snapToGrid w:val="0"/>
          <w:color w:val="000000" w:themeColor="text1"/>
          <w:kern w:val="0"/>
          <w:szCs w:val="21"/>
          <w:highlight w:val="none"/>
          <w:lang w:eastAsia="en-US"/>
          <w14:textFill>
            <w14:solidFill>
              <w14:schemeClr w14:val="tx1"/>
            </w14:solidFill>
          </w14:textFill>
        </w:rPr>
        <w:t>责人、工程施工负责人违约金，</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更换到位的工程设计负责人、工程施工负责人资格、业绩等条件应不低于原工程施工负责人，</w:t>
      </w:r>
      <w:r>
        <w:rPr>
          <w:rFonts w:hint="eastAsia" w:ascii="宋体" w:hAnsi="宋体" w:eastAsia="Arial" w:cs="Arial"/>
          <w:bCs/>
          <w:snapToGrid w:val="0"/>
          <w:color w:val="000000" w:themeColor="text1"/>
          <w:kern w:val="0"/>
          <w:szCs w:val="21"/>
          <w:highlight w:val="none"/>
          <w:lang w:eastAsia="en-US"/>
          <w14:textFill>
            <w14:solidFill>
              <w14:schemeClr w14:val="tx1"/>
            </w14:solidFill>
          </w14:textFill>
        </w:rPr>
        <w:t>及时缴纳相应的处罚金至业主单位或从下期进度款中予以扣除相应处罚金，由此造成的一切直接和间接损失由承包人承担。</w:t>
      </w:r>
    </w:p>
    <w:p w14:paraId="63670CF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②发包人要求更换工程设计负责</w:t>
      </w:r>
      <w:r>
        <w:rPr>
          <w:rFonts w:hint="eastAsia" w:ascii="宋体" w:hAnsi="宋体" w:eastAsia="宋体" w:cs="宋体"/>
          <w:b/>
          <w:bCs/>
          <w:snapToGrid w:val="0"/>
          <w:color w:val="000000" w:themeColor="text1"/>
          <w:kern w:val="0"/>
          <w:szCs w:val="21"/>
          <w:highlight w:val="none"/>
          <w:lang w:val="en-US" w:eastAsia="zh-CN"/>
          <w14:textFill>
            <w14:solidFill>
              <w14:schemeClr w14:val="tx1"/>
            </w14:solidFill>
          </w14:textFill>
        </w:rPr>
        <w:t>人</w:t>
      </w: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 xml:space="preserve">、工程施工负责人的情形及违约责任: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要求承包人更换工程设计负责人、工程施工负责人，若承包人未在规定时间内更换到位的，逾期更换的天数视缺勤处理；承包人无正当理由拒绝更换或第一次更换后的人员不符合发包人要求，发包人要求承包人再次更换的，计取承包人违约金：工程设计负责人、工程施工负责人</w:t>
      </w:r>
      <w:r>
        <w:rPr>
          <w:rFonts w:hint="eastAsia" w:ascii="宋体" w:hAnsi="宋体" w:cs="宋体"/>
          <w:snapToGrid w:val="0"/>
          <w:color w:val="000000" w:themeColor="text1"/>
          <w:kern w:val="0"/>
          <w:szCs w:val="21"/>
          <w:highlight w:val="none"/>
          <w:lang w:val="en-US" w:eastAsia="zh-CN"/>
          <w14:textFill>
            <w14:solidFill>
              <w14:schemeClr w14:val="tx1"/>
            </w14:solidFill>
          </w14:textFill>
        </w:rPr>
        <w:t>10</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万元，由承包人承担由此原因造成的损失，且发包人有权单方解除合同，发包人选择解除合同的，承包人应立即无条件退出施工现场，未支付的工程价款折抵承包人应承担的违约赔偿责任。</w:t>
      </w:r>
    </w:p>
    <w:p w14:paraId="5E85A582">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③承包人擅自更换工程设计负责</w:t>
      </w:r>
      <w:r>
        <w:rPr>
          <w:rFonts w:hint="eastAsia" w:ascii="宋体" w:hAnsi="宋体" w:eastAsia="宋体" w:cs="宋体"/>
          <w:b/>
          <w:bCs/>
          <w:snapToGrid w:val="0"/>
          <w:color w:val="000000" w:themeColor="text1"/>
          <w:kern w:val="0"/>
          <w:szCs w:val="21"/>
          <w:highlight w:val="none"/>
          <w:lang w:val="en-US" w:eastAsia="zh-CN"/>
          <w14:textFill>
            <w14:solidFill>
              <w14:schemeClr w14:val="tx1"/>
            </w14:solidFill>
          </w14:textFill>
        </w:rPr>
        <w:t>人</w:t>
      </w: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、工程施工负责人的违约责任：</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若承包人未经发包人书面同意擅自更换工程设计负责人、工程施工负责人，按每更换一人次计取承包人违约金：工程设计负责人、工程施工负责人</w:t>
      </w:r>
      <w:r>
        <w:rPr>
          <w:rFonts w:hint="eastAsia" w:ascii="宋体" w:hAnsi="宋体" w:cs="宋体"/>
          <w:snapToGrid w:val="0"/>
          <w:color w:val="000000" w:themeColor="text1"/>
          <w:kern w:val="0"/>
          <w:szCs w:val="21"/>
          <w:highlight w:val="none"/>
          <w:lang w:val="en-US" w:eastAsia="zh-CN"/>
          <w14:textFill>
            <w14:solidFill>
              <w14:schemeClr w14:val="tx1"/>
            </w14:solidFill>
          </w14:textFill>
        </w:rPr>
        <w:t>10</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万元。</w:t>
      </w:r>
    </w:p>
    <w:p w14:paraId="363F1F76">
      <w:pPr>
        <w:keepNext w:val="0"/>
        <w:keepLines w:val="0"/>
        <w:pageBreakBefore w:val="0"/>
        <w:widowControl w:val="0"/>
        <w:kinsoku w:val="0"/>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2）除工程总承包项目经理、工程设计负责人、工程施工负责人以外的项目管理机构人员：</w:t>
      </w:r>
    </w:p>
    <w:p w14:paraId="7D15C0C2">
      <w:pPr>
        <w:keepNext w:val="0"/>
        <w:keepLines w:val="0"/>
        <w:pageBreakBefore w:val="0"/>
        <w:widowControl w:val="0"/>
        <w:kinsoku w:val="0"/>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①特殊情况须更换的情形：</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除工程总承包项目经理、工程设计负责人、施工负责人以外的项目管理机构人员到位后因特殊情况（如生育、生病长期住院、终止劳动合同关系、意外身故、发生重大安全事故不适合再任、被责令停止执业、羁押或判刑情形等情况）无法继续担任相应岗位工作，承包人应向发包人提出书面申请，报发包人同意，有备案要求的人员还需通过项目所在地建设主管部门备案后方可更换，</w:t>
      </w:r>
      <w:r>
        <w:rPr>
          <w:rFonts w:hint="eastAsia" w:ascii="宋体" w:hAnsi="宋体" w:eastAsia="Arial" w:cs="Arial"/>
          <w:b/>
          <w:snapToGrid w:val="0"/>
          <w:color w:val="000000" w:themeColor="text1"/>
          <w:kern w:val="0"/>
          <w:szCs w:val="21"/>
          <w:highlight w:val="none"/>
          <w:lang w:eastAsia="en-US"/>
          <w14:textFill>
            <w14:solidFill>
              <w14:schemeClr w14:val="tx1"/>
            </w14:solidFill>
          </w14:textFill>
        </w:rPr>
        <w:t>且每次更换处</w:t>
      </w:r>
      <w:r>
        <w:rPr>
          <w:rFonts w:hint="eastAsia" w:ascii="宋体" w:hAnsi="宋体" w:eastAsia="宋体" w:cs="Arial"/>
          <w:b/>
          <w:snapToGrid w:val="0"/>
          <w:color w:val="000000" w:themeColor="text1"/>
          <w:kern w:val="0"/>
          <w:szCs w:val="21"/>
          <w:highlight w:val="none"/>
          <w:lang w:val="en-US" w:eastAsia="zh-CN"/>
          <w14:textFill>
            <w14:solidFill>
              <w14:schemeClr w14:val="tx1"/>
            </w14:solidFill>
          </w14:textFill>
        </w:rPr>
        <w:t>5</w:t>
      </w:r>
      <w:r>
        <w:rPr>
          <w:rFonts w:hint="eastAsia" w:ascii="宋体" w:hAnsi="宋体" w:eastAsia="Arial" w:cs="Arial"/>
          <w:b/>
          <w:snapToGrid w:val="0"/>
          <w:color w:val="000000" w:themeColor="text1"/>
          <w:kern w:val="0"/>
          <w:szCs w:val="21"/>
          <w:highlight w:val="none"/>
          <w:lang w:eastAsia="en-US"/>
          <w14:textFill>
            <w14:solidFill>
              <w14:schemeClr w14:val="tx1"/>
            </w14:solidFill>
          </w14:textFill>
        </w:rPr>
        <w:t>万元/人次的违约金，</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对更换到位的管理人员的资格、业绩等条件应不低于原来人员。</w:t>
      </w: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及时缴纳相应的处罚金至业主单位或从下期进度款中予以扣除相应处罚金，并且业主也可单方面终止合同，由此造成的一切直接和间接损失由承包人承担。</w:t>
      </w:r>
    </w:p>
    <w:p w14:paraId="34B801F3">
      <w:pPr>
        <w:keepNext w:val="0"/>
        <w:keepLines w:val="0"/>
        <w:pageBreakBefore w:val="0"/>
        <w:widowControl w:val="0"/>
        <w:kinsoku w:val="0"/>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②发包人要求更换的情形及违约责任：</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要求承包人更换除工程总承包项目经理、工程设计负责人、工程施工负责人以外的项目管理机构人员，若承包人未在规定时间内更换到位的，逾期更换的天数视缺勤处理；承包人无正当理由拒绝更换或第一次更换后的人员不符合发包人要求，发包人要求承包人再次更换的，计取承包人违约金：</w:t>
      </w:r>
      <w:r>
        <w:rPr>
          <w:rFonts w:hint="eastAsia" w:ascii="宋体" w:hAnsi="宋体" w:cs="宋体"/>
          <w:snapToGrid w:val="0"/>
          <w:color w:val="000000" w:themeColor="text1"/>
          <w:kern w:val="0"/>
          <w:szCs w:val="21"/>
          <w:highlight w:val="none"/>
          <w:lang w:val="en-US" w:eastAsia="zh-CN"/>
          <w14:textFill>
            <w14:solidFill>
              <w14:schemeClr w14:val="tx1"/>
            </w14:solidFill>
          </w14:textFill>
        </w:rPr>
        <w:t>5</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万元/人，并由承包人承担由此原因造成的损失，且发包人有权单方解除合同，发包人选择解除合同的，承包人应立即无条件退出施工现场，未支付的工程价款折抵承包人应承担的违约赔偿责任。</w:t>
      </w:r>
    </w:p>
    <w:p w14:paraId="768B03A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③承包人擅自更换的违约责任：</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若承包人未经发包人书面同意擅自更换除工程总承包项目经理、工程设计负责人、工程施工负责人以外的项目管理机构人员，10万元/人。</w:t>
      </w:r>
    </w:p>
    <w:p w14:paraId="19C69412">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违约金从承包人的履约保证金中扣除，不足部分发包人有权在进度款中直接扣除，当履约保证金或履约担保保函金额不足时，承包人须在7个工作日内足额补齐，否则发包人将不予支付工程进度款。</w:t>
      </w:r>
    </w:p>
    <w:p w14:paraId="080B5CB9">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4.4.3 现场管理关键人员在岗要求</w:t>
      </w:r>
    </w:p>
    <w:p w14:paraId="2F4B60B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承包人除设计负责人外的驻地项目管理机构人员每月在施工现场的时间要求：</w:t>
      </w:r>
      <w:r>
        <w:rPr>
          <w:rFonts w:hint="eastAsia" w:ascii="宋体" w:hAnsi="宋体" w:eastAsia="宋体" w:cs="宋体"/>
          <w:b/>
          <w:bCs/>
          <w:snapToGrid w:val="0"/>
          <w:color w:val="000000" w:themeColor="text1"/>
          <w:kern w:val="0"/>
          <w:szCs w:val="21"/>
          <w:highlight w:val="none"/>
          <w:u w:val="single"/>
          <w:lang w:eastAsia="zh-CN"/>
          <w14:textFill>
            <w14:solidFill>
              <w14:schemeClr w14:val="tx1"/>
            </w14:solidFill>
          </w14:textFill>
        </w:rPr>
        <w:t>工程总承包项目经理、</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工程施工负责人月到岗天数达到22日以上，其他人员月到岗天数达到24日以上；</w:t>
      </w:r>
      <w:r>
        <w:rPr>
          <w:rFonts w:hint="eastAsia" w:ascii="宋体" w:hAnsi="宋体" w:cs="宋体"/>
          <w:b/>
          <w:bCs/>
          <w:color w:val="auto"/>
          <w:szCs w:val="21"/>
          <w:highlight w:val="none"/>
          <w:u w:val="single"/>
        </w:rPr>
        <w:t>项目负责人、</w:t>
      </w:r>
      <w:r>
        <w:rPr>
          <w:rFonts w:hint="eastAsia" w:ascii="宋体" w:hAnsi="宋体" w:eastAsia="宋体" w:cs="宋体"/>
          <w:b/>
          <w:bCs/>
          <w:snapToGrid w:val="0"/>
          <w:color w:val="000000" w:themeColor="text1"/>
          <w:kern w:val="0"/>
          <w:szCs w:val="21"/>
          <w:highlight w:val="none"/>
          <w:u w:val="single"/>
          <w:lang w:val="en-US" w:eastAsia="zh-CN"/>
          <w14:textFill>
            <w14:solidFill>
              <w14:schemeClr w14:val="tx1"/>
            </w14:solidFill>
          </w14:textFill>
        </w:rPr>
        <w:t>工程</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施工负责人现场到位考核，委托监理单位现场考勤。</w:t>
      </w:r>
    </w:p>
    <w:p w14:paraId="0CB3CC3B">
      <w:pPr>
        <w:keepNext w:val="0"/>
        <w:keepLines w:val="0"/>
        <w:pageBreakBefore w:val="0"/>
        <w:widowControl w:val="0"/>
        <w:kinsoku w:val="0"/>
        <w:overflowPunct/>
        <w:topLinePunct/>
        <w:autoSpaceDE w:val="0"/>
        <w:autoSpaceDN w:val="0"/>
        <w:bidi w:val="0"/>
        <w:adjustRightInd w:val="0"/>
        <w:snapToGrid w:val="0"/>
        <w:spacing w:beforeAutospacing="0" w:afterAutospacing="0" w:line="400" w:lineRule="exact"/>
        <w:ind w:firstLine="420" w:firstLineChars="200"/>
        <w:jc w:val="both"/>
        <w:textAlignment w:val="baseline"/>
        <w:rPr>
          <w:rFonts w:ascii="宋体" w:hAnsi="宋体"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1）</w:t>
      </w:r>
      <w:r>
        <w:rPr>
          <w:rFonts w:hint="eastAsia" w:ascii="宋体" w:hAnsi="宋体" w:eastAsia="宋体" w:cs="宋体"/>
          <w:b/>
          <w:bCs/>
          <w:snapToGrid w:val="0"/>
          <w:color w:val="000000" w:themeColor="text1"/>
          <w:kern w:val="0"/>
          <w:szCs w:val="21"/>
          <w:highlight w:val="none"/>
          <w:u w:val="none"/>
          <w:lang w:eastAsia="zh-CN"/>
          <w14:textFill>
            <w14:solidFill>
              <w14:schemeClr w14:val="tx1"/>
            </w14:solidFill>
          </w14:textFill>
        </w:rPr>
        <w:t>工程总承包项目经理</w:t>
      </w:r>
      <w:r>
        <w:rPr>
          <w:rFonts w:hint="eastAsia" w:ascii="宋体" w:hAnsi="宋体" w:cs="宋体"/>
          <w:b/>
          <w:bCs/>
          <w:snapToGrid w:val="0"/>
          <w:color w:val="000000" w:themeColor="text1"/>
          <w:kern w:val="0"/>
          <w:szCs w:val="21"/>
          <w:highlight w:val="none"/>
          <w:u w:val="none"/>
          <w:lang w:eastAsia="zh-CN"/>
          <w14:textFill>
            <w14:solidFill>
              <w14:schemeClr w14:val="tx1"/>
            </w14:solidFill>
          </w14:textFill>
        </w:rPr>
        <w:t>、</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工程施工负责人未经批准，擅自离开施工现场的违约责任：月到岗天数不足合同约定的天数，施工负责人每天计取</w:t>
      </w: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1</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000元的违约金。不能到岗或累计三个月达不到要求的，发包人有权终止合同，没收全部履约保证金，同时由承包人赔偿发包人由此造成的损失。另遇到工程检查、验收或参观等活动时，工程施工负责人未经发包人同意不得离开施工现场，如有违反，发包人向承包人每次计取</w:t>
      </w:r>
      <w:r>
        <w:rPr>
          <w:rFonts w:hint="eastAsia" w:ascii="宋体" w:hAnsi="宋体" w:eastAsia="宋体" w:cs="宋体"/>
          <w:snapToGrid w:val="0"/>
          <w:color w:val="000000" w:themeColor="text1"/>
          <w:kern w:val="0"/>
          <w:sz w:val="21"/>
          <w:szCs w:val="21"/>
          <w:highlight w:val="none"/>
          <w:lang w:val="en-US" w:eastAsia="zh-CN" w:bidi="ar-SA"/>
          <w14:textFill>
            <w14:solidFill>
              <w14:schemeClr w14:val="tx1"/>
            </w14:solidFill>
          </w14:textFill>
        </w:rPr>
        <w:t>1</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000元的违约金，每月结算。</w:t>
      </w:r>
    </w:p>
    <w:p w14:paraId="14D45B3E">
      <w:pPr>
        <w:keepNext w:val="0"/>
        <w:keepLines w:val="0"/>
        <w:pageBreakBefore w:val="0"/>
        <w:widowControl w:val="0"/>
        <w:kinsoku w:val="0"/>
        <w:overflowPunct/>
        <w:topLinePunct/>
        <w:autoSpaceDE w:val="0"/>
        <w:autoSpaceDN w:val="0"/>
        <w:bidi w:val="0"/>
        <w:adjustRightInd w:val="0"/>
        <w:snapToGrid w:val="0"/>
        <w:spacing w:beforeAutospacing="0" w:afterAutospacing="0" w:line="400" w:lineRule="exact"/>
        <w:ind w:firstLine="420" w:firstLineChars="200"/>
        <w:jc w:val="both"/>
        <w:textAlignment w:val="baseline"/>
        <w:rPr>
          <w:rFonts w:ascii="宋体" w:hAnsi="宋体"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2）除工程总承包项目经理、施工负责人、设计负责人以外的驻地项目管理机构人员擅自离开施工现场的违约责任：月到岗天数不足合同约定的天数，每天每人次计取违约金</w:t>
      </w:r>
      <w:r>
        <w:rPr>
          <w:rFonts w:hint="eastAsia" w:ascii="宋体" w:hAnsi="宋体" w:eastAsia="宋体" w:cs="宋体"/>
          <w:snapToGrid w:val="0"/>
          <w:color w:val="000000" w:themeColor="text1"/>
          <w:kern w:val="0"/>
          <w:sz w:val="21"/>
          <w:szCs w:val="21"/>
          <w:highlight w:val="none"/>
          <w:u w:val="single"/>
          <w:lang w:val="en-US" w:eastAsia="zh-CN" w:bidi="ar-SA"/>
          <w14:textFill>
            <w14:solidFill>
              <w14:schemeClr w14:val="tx1"/>
            </w14:solidFill>
          </w14:textFill>
        </w:rPr>
        <w:t>1</w:t>
      </w:r>
      <w:r>
        <w:rPr>
          <w:rFonts w:hint="eastAsia" w:ascii="宋体" w:hAnsi="宋体" w:eastAsia="Arial" w:cs="宋体"/>
          <w:snapToGrid w:val="0"/>
          <w:color w:val="000000" w:themeColor="text1"/>
          <w:kern w:val="0"/>
          <w:sz w:val="21"/>
          <w:szCs w:val="21"/>
          <w:highlight w:val="none"/>
          <w:u w:val="single"/>
          <w:lang w:val="en-US" w:eastAsia="en-US" w:bidi="ar-SA"/>
          <w14:textFill>
            <w14:solidFill>
              <w14:schemeClr w14:val="tx1"/>
            </w14:solidFill>
          </w14:textFill>
        </w:rPr>
        <w:t>000</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元，每月结算。不能到岗或累计三个月达不到要求的，发包人有权终止合同，没收全部履约保证金，同时由承包人赔偿发包人由此造成的损失。另遇到工程检查、验收或参观等活动时，无特殊原因不得离开施工现场。</w:t>
      </w:r>
    </w:p>
    <w:p w14:paraId="13F7B5C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违约金从承包人的项目班到位率履约保证金中扣除，不足部分发包人有权在进度款中直接扣除，当履约保证金或履约担保保函金额不足时，承包人须在7个工作日内足额补齐，否则发包人将不予支付工程进度款。</w:t>
      </w:r>
    </w:p>
    <w:p w14:paraId="566FD58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val="0"/>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val="0"/>
          <w:snapToGrid w:val="0"/>
          <w:color w:val="000000" w:themeColor="text1"/>
          <w:kern w:val="0"/>
          <w:szCs w:val="21"/>
          <w:highlight w:val="none"/>
          <w:lang w:eastAsia="en-US"/>
          <w14:textFill>
            <w14:solidFill>
              <w14:schemeClr w14:val="tx1"/>
            </w14:solidFill>
          </w14:textFill>
        </w:rPr>
        <w:t>4.5 分包</w:t>
      </w:r>
    </w:p>
    <w:p w14:paraId="2A31035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4.5.1 一般约定</w:t>
      </w:r>
    </w:p>
    <w:p w14:paraId="3D12223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禁止分包的工程包括：</w:t>
      </w:r>
      <w:r>
        <w:rPr>
          <w:rFonts w:hint="eastAsia" w:ascii="Arial" w:hAnsi="Arial"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Arial" w:hAnsi="Arial" w:eastAsia="Arial" w:cs="宋体"/>
          <w:snapToGrid w:val="0"/>
          <w:color w:val="000000" w:themeColor="text1"/>
          <w:kern w:val="0"/>
          <w:szCs w:val="21"/>
          <w:highlight w:val="none"/>
          <w:lang w:eastAsia="en-US"/>
          <w14:textFill>
            <w14:solidFill>
              <w14:schemeClr w14:val="tx1"/>
            </w14:solidFill>
          </w14:textFill>
        </w:rPr>
        <w:t>。</w:t>
      </w:r>
    </w:p>
    <w:p w14:paraId="207C959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4.5.2 分包的确定</w:t>
      </w:r>
    </w:p>
    <w:p w14:paraId="6464136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允许分包的工程包括：</w:t>
      </w:r>
      <w:r>
        <w:rPr>
          <w:rFonts w:hint="eastAsia" w:ascii="Arial" w:hAnsi="Arial" w:eastAsia="Arial" w:cs="宋体"/>
          <w:i w:val="0"/>
          <w:iCs w:val="0"/>
          <w:snapToGrid w:val="0"/>
          <w:color w:val="000000" w:themeColor="text1"/>
          <w:spacing w:val="0"/>
          <w:kern w:val="0"/>
          <w:sz w:val="21"/>
          <w:szCs w:val="21"/>
          <w:highlight w:val="none"/>
          <w:u w:val="single" w:color="auto"/>
          <w:lang w:val="en-US" w:eastAsia="zh-CN"/>
          <w14:textFill>
            <w14:solidFill>
              <w14:schemeClr w14:val="tx1"/>
            </w14:solidFill>
          </w14:textFill>
        </w:rPr>
        <w:t xml:space="preserve">分包内容须符合法律法规规定并经发包人认可 </w:t>
      </w:r>
      <w:r>
        <w:rPr>
          <w:rFonts w:hint="eastAsia" w:ascii="宋体" w:hAnsi="宋体" w:eastAsia="宋体" w:cs="宋体"/>
          <w:i w:val="0"/>
          <w:iCs w:val="0"/>
          <w:snapToGrid w:val="0"/>
          <w:color w:val="000000" w:themeColor="text1"/>
          <w:spacing w:val="0"/>
          <w:kern w:val="0"/>
          <w:sz w:val="21"/>
          <w:szCs w:val="21"/>
          <w:highlight w:val="none"/>
          <w:lang w:eastAsia="en-US"/>
          <w14:textFill>
            <w14:solidFill>
              <w14:schemeClr w14:val="tx1"/>
            </w14:solidFill>
          </w14:textFill>
        </w:rPr>
        <w:t>。</w:t>
      </w:r>
    </w:p>
    <w:p w14:paraId="0244003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其他关于分包的约定：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国家允许分包的工程可以分包，必须按照法律法规规定、监管部门的监管要求和发包人约定的条件、程序进行发包。</w:t>
      </w:r>
    </w:p>
    <w:p w14:paraId="3B3A106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4.5.5 分包合同价款支付</w:t>
      </w:r>
    </w:p>
    <w:p w14:paraId="411FE49E">
      <w:pPr>
        <w:keepNext w:val="0"/>
        <w:keepLines w:val="0"/>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关于分包合同价款支付的约定：</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承包人应按分包合同约定，及时向分包人支付合同价款，不得以无故延误分包人价款的支付。定期向发包人提交分包工程的支付明细。</w:t>
      </w:r>
    </w:p>
    <w:p w14:paraId="32D49F9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4.6 联合体</w:t>
      </w:r>
    </w:p>
    <w:p w14:paraId="10746FD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4.6.2 联合体各成员的分工、费用收取、发票开具等事项：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由承包人在签订合同时根据《联合体协议书》明确。</w:t>
      </w:r>
    </w:p>
    <w:p w14:paraId="50C0584E">
      <w:pPr>
        <w:spacing w:line="400" w:lineRule="exact"/>
        <w:ind w:firstLine="420" w:firstLineChars="200"/>
        <w:rPr>
          <w:rFonts w:hint="eastAsia" w:ascii="宋体" w:hAnsi="宋体" w:eastAsia="Arial" w:cs="宋体"/>
          <w:snapToGrid w:val="0"/>
          <w:color w:val="auto"/>
          <w:kern w:val="0"/>
          <w:szCs w:val="21"/>
          <w:highlight w:val="none"/>
          <w:u w:val="single"/>
          <w:lang w:eastAsia="en-US"/>
        </w:rPr>
      </w:pPr>
      <w:r>
        <w:rPr>
          <w:rFonts w:hint="eastAsia" w:ascii="宋体" w:hAnsi="宋体" w:cs="宋体"/>
          <w:color w:val="auto"/>
          <w:szCs w:val="21"/>
          <w:highlight w:val="none"/>
          <w:u w:val="single"/>
        </w:rPr>
        <w:t>由联合体牵头人根据《总承包合同》要求开设独立的专门银行账户，统一接受发包人支付的合同价款。</w:t>
      </w:r>
    </w:p>
    <w:p w14:paraId="0E0627D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4.7 承包人现场查勘</w:t>
      </w:r>
    </w:p>
    <w:p w14:paraId="3B95642B">
      <w:pPr>
        <w:keepNext w:val="0"/>
        <w:keepLines w:val="0"/>
        <w:pageBreakBefore w:val="0"/>
        <w:tabs>
          <w:tab w:val="left" w:pos="105"/>
          <w:tab w:val="left" w:pos="1260"/>
          <w:tab w:val="left" w:pos="1683"/>
        </w:tabs>
        <w:kinsoku w:val="0"/>
        <w:wordWrap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4.7.1 双方当事人对现场查勘的责任承担的约定：</w:t>
      </w:r>
      <w:r>
        <w:rPr>
          <w:rFonts w:hint="eastAsia" w:ascii="宋体" w:hAnsi="宋体" w:eastAsia="Arial" w:cs="宋体"/>
          <w:snapToGrid w:val="0"/>
          <w:color w:val="000000" w:themeColor="text1"/>
          <w:kern w:val="0"/>
          <w:sz w:val="21"/>
          <w:szCs w:val="21"/>
          <w:highlight w:val="none"/>
          <w:u w:val="single"/>
          <w:lang w:val="en-US" w:eastAsia="en-US" w:bidi="ar-SA"/>
          <w14:textFill>
            <w14:solidFill>
              <w14:schemeClr w14:val="tx1"/>
            </w14:solidFill>
          </w14:textFill>
        </w:rPr>
        <w:t xml:space="preserve">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w:t>
      </w: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在全部合同工作中，视为承包人已充分估计了应承担的责任和风险。</w:t>
      </w:r>
    </w:p>
    <w:p w14:paraId="533F3BF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4.8 不可预见的困难</w:t>
      </w:r>
    </w:p>
    <w:p w14:paraId="37E4FE8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不可预见的困难包括：</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承包人在施工现场遇到的不可预见的自然物质条件、非自然的物质障碍和污染物，包括地表以下物质条件和水文条件，但不包括气候条件。</w:t>
      </w:r>
    </w:p>
    <w:p w14:paraId="6D4AD836">
      <w:pPr>
        <w:keepNext w:val="0"/>
        <w:keepLines w:val="0"/>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bookmarkStart w:id="118" w:name="_Toc54862336"/>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第5条 设计</w:t>
      </w:r>
      <w:bookmarkEnd w:id="118"/>
    </w:p>
    <w:p w14:paraId="2474B5A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5.2 承包人文件审查</w:t>
      </w:r>
    </w:p>
    <w:p w14:paraId="0FBC48F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5.2.1 承包人文件审查的期限：</w:t>
      </w:r>
    </w:p>
    <w:p w14:paraId="601E4C1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承包人应按照发包人要求，在合同进度计划中专门列出设计进度计划，报发包人批准后执行。承包人需按照经批准后的计划开展设计工作。</w:t>
      </w:r>
    </w:p>
    <w:p w14:paraId="1D999D6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5.2.2 审查会议的审查形式和时间安排为：</w:t>
      </w:r>
    </w:p>
    <w:p w14:paraId="5806D6B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承包人对施工图纸认真设计并自查完善，积极配合发包人组织的初步设计单位、全过程咨询服务单位对施工图纸审核工作，根据审核意见，积极做好图纸修改完善工作。如在施工过程中或完工后发现设计问题，由承包人承担相应责任。</w:t>
      </w:r>
    </w:p>
    <w:p w14:paraId="0D8FAF6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2）由承包人提供建设内容的所有施工图设计、涉及本项目所有的专项设计，承包人应对所提供设计文件负责。发包人有权指导、审查由承包人所进行的设计工作，并对设计文件进行审核确认后方可用于施工，但不承担因承包人原因造成的各种失误责任和损失。</w:t>
      </w:r>
    </w:p>
    <w:p w14:paraId="1FF9F3C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审查会议的相关费用由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Arial" w:hAnsi="Arial" w:eastAsia="Arial" w:cs="宋体"/>
          <w:b/>
          <w:bCs/>
          <w:snapToGrid w:val="0"/>
          <w:color w:val="000000" w:themeColor="text1"/>
          <w:kern w:val="0"/>
          <w:szCs w:val="21"/>
          <w:highlight w:val="none"/>
          <w:u w:val="single"/>
          <w:lang w:eastAsia="en-US"/>
          <w14:textFill>
            <w14:solidFill>
              <w14:schemeClr w14:val="tx1"/>
            </w14:solidFill>
          </w14:textFill>
        </w:rPr>
        <w:t>承包人</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承担。</w:t>
      </w:r>
    </w:p>
    <w:p w14:paraId="327EE6F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5.2.3 关于第三方审查单位的约定：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24FB0C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5.3 培训</w:t>
      </w:r>
    </w:p>
    <w:p w14:paraId="0A50602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ascii="䅂䍄䕅⯋컌" w:hAnsi="䅂䍄䕅⯋컌" w:eastAsia="䅂䍄䕅⯋컌" w:cs="䅂䍄䕅⯋컌"/>
          <w:snapToGrid w:val="0"/>
          <w:color w:val="000000" w:themeColor="text1"/>
          <w:kern w:val="0"/>
          <w:szCs w:val="21"/>
          <w:highlight w:val="none"/>
          <w:lang w:eastAsia="en-US" w:bidi="ar"/>
          <w14:textFill>
            <w14:solidFill>
              <w14:schemeClr w14:val="tx1"/>
            </w14:solidFill>
          </w14:textFill>
        </w:rPr>
        <w:t>承包人应按照发包人要求，对发包人的人员进行工程操作和维修方面的培训。合同约定接收之前进行培训的，应在约定的竣工验收前完成培训</w:t>
      </w:r>
    </w:p>
    <w:p w14:paraId="503A564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5.4 竣工文件</w:t>
      </w:r>
    </w:p>
    <w:p w14:paraId="3AFBE82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5.4.1 竣工文件的形式、提供的份数、技术标准以及其它相关要求：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竣工记录应保存在施工场地，并在竣工试验开始前，一式两份提交监理单位。</w:t>
      </w:r>
    </w:p>
    <w:p w14:paraId="37D29F5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5.4.3 关于竣工文件的其他约定：</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在颁发工程接收证书之前，承包人应按照发包人要求的份数和形式向监理人提交相应竣工图纸</w:t>
      </w:r>
      <w:r>
        <w:rPr>
          <w:rFonts w:hint="eastAsia" w:ascii="䅂䍄䕅⯋컌" w:hAnsi="䅂䍄䕅⯋컌" w:eastAsia="宋体" w:cs="䅂䍄䕅⯋컌"/>
          <w:snapToGrid w:val="0"/>
          <w:color w:val="000000" w:themeColor="text1"/>
          <w:kern w:val="0"/>
          <w:szCs w:val="21"/>
          <w:highlight w:val="none"/>
          <w:u w:val="single"/>
          <w:lang w:val="en-US" w:eastAsia="zh-CN" w:bidi="ar"/>
          <w14:textFill>
            <w14:solidFill>
              <w14:schemeClr w14:val="tx1"/>
            </w14:solidFill>
          </w14:textFill>
        </w:rPr>
        <w:t>及相关资料</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，并取得监理人的</w:t>
      </w:r>
      <w:r>
        <w:rPr>
          <w:rFonts w:hint="eastAsia" w:ascii="䅂䍄䕅⯋컌" w:hAnsi="䅂䍄䕅⯋컌" w:eastAsia="宋体" w:cs="䅂䍄䕅⯋컌"/>
          <w:snapToGrid w:val="0"/>
          <w:color w:val="000000" w:themeColor="text1"/>
          <w:kern w:val="0"/>
          <w:szCs w:val="21"/>
          <w:highlight w:val="none"/>
          <w:u w:val="single"/>
          <w:lang w:val="en-US" w:eastAsia="zh-CN" w:bidi="ar"/>
          <w14:textFill>
            <w14:solidFill>
              <w14:schemeClr w14:val="tx1"/>
            </w14:solidFill>
          </w14:textFill>
        </w:rPr>
        <w:t>书面</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认可</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731E43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5.5 操作和维修手册</w:t>
      </w:r>
    </w:p>
    <w:p w14:paraId="7F51682C">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5.5.3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对最终操作和维修手册的约定：</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在竣工试验开始前，承包人应向监理人提交</w:t>
      </w:r>
      <w:r>
        <w:rPr>
          <w:rFonts w:hint="eastAsia" w:ascii="䅂䍄䕅⯋컌" w:hAnsi="䅂䍄䕅⯋컌" w:eastAsia="宋体" w:cs="䅂䍄䕅⯋컌"/>
          <w:snapToGrid w:val="0"/>
          <w:color w:val="000000" w:themeColor="text1"/>
          <w:kern w:val="0"/>
          <w:szCs w:val="21"/>
          <w:highlight w:val="none"/>
          <w:u w:val="single"/>
          <w:lang w:val="en-US" w:eastAsia="zh-CN" w:bidi="ar"/>
          <w14:textFill>
            <w14:solidFill>
              <w14:schemeClr w14:val="tx1"/>
            </w14:solidFill>
          </w14:textFill>
        </w:rPr>
        <w:t>暂行的</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操作和维修手册，该手册应足够详细，以便发包人能够对生产设备进行操作、维修、拆卸、重新安装、调整及修理。 承包人应提交足够详细的最终操作和维修手册，以及在发包人要求中明确的相关操作和维修手册。在监理人收到上述文件前，不应认为工程已根据</w:t>
      </w:r>
      <w:r>
        <w:rPr>
          <w:rFonts w:hint="eastAsia"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前款</w:t>
      </w:r>
      <w:r>
        <w:rPr>
          <w:rFonts w:ascii="䅂䍄䕅⯋컌" w:hAnsi="䅂䍄䕅⯋컌" w:eastAsia="䅂䍄䕅⯋컌" w:cs="䅂䍄䕅⯋컌"/>
          <w:snapToGrid w:val="0"/>
          <w:color w:val="000000" w:themeColor="text1"/>
          <w:kern w:val="0"/>
          <w:szCs w:val="21"/>
          <w:highlight w:val="none"/>
          <w:u w:val="single"/>
          <w:lang w:eastAsia="en-US" w:bidi="ar"/>
          <w14:textFill>
            <w14:solidFill>
              <w14:schemeClr w14:val="tx1"/>
            </w14:solidFill>
          </w14:textFill>
        </w:rPr>
        <w:t>约定完成验收</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w:t>
      </w:r>
    </w:p>
    <w:p w14:paraId="0933AE50">
      <w:pPr>
        <w:keepNext w:val="0"/>
        <w:keepLines w:val="0"/>
        <w:pageBreakBefore w:val="0"/>
        <w:widowControl/>
        <w:kinsoku w:val="0"/>
        <w:overflow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bookmarkStart w:id="119" w:name="_Toc54862337"/>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第6条 材料、工程设备</w:t>
      </w:r>
      <w:bookmarkEnd w:id="119"/>
    </w:p>
    <w:p w14:paraId="60FCCB2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6.1 实施方法</w:t>
      </w:r>
    </w:p>
    <w:p w14:paraId="5731D71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双方当事人约定的实施方法、设备、设施和材料：</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承包人对材料的加工、工程设备的采购、制造、安装应当按照法律规定、合同约定以及行业习惯来实施</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w:t>
      </w:r>
    </w:p>
    <w:p w14:paraId="18E8396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6.2 材料和工程设备</w:t>
      </w:r>
    </w:p>
    <w:p w14:paraId="539F82F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6.2.1 发包人提供的材料和工程设备</w:t>
      </w:r>
    </w:p>
    <w:p w14:paraId="08F4EBC3">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发包人提供的材料和工程设备验收后，由</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 xml:space="preserve">承包人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负责接收、运输和保管。</w:t>
      </w:r>
    </w:p>
    <w:p w14:paraId="277156D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6.2.2 承包人提供的材料和工程设备</w:t>
      </w:r>
    </w:p>
    <w:p w14:paraId="125F7A83">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材料和工程设备的类别、估算数量：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CE0B3D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竣工后试验的生产性材料的类别或（和）清单：</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659ED62">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6.2.3 材料和工程设备的保管</w:t>
      </w:r>
    </w:p>
    <w:p w14:paraId="33C152D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发包人供应的材料和工程设备的保管费用由</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承包人</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承担。</w:t>
      </w:r>
    </w:p>
    <w:p w14:paraId="44EDE79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承包人采购材料设备的约定：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承包人必须严格按照设计文件中注明的规格（型号）、技术参数等要求采购材料（设备）。（2）所有材料（设备）的进场应符合国家或相关部门的进场检验规范。（3）发包人给出参考品牌的，由承包人按参考品牌选定其中之一，也欢迎其他能满足本项目技术需求且性能与参考品牌相当的产品。（4）对承包人提供的材料和工程设备，承包人应会同监理人和发包人进行检验和交货验收，查验材料合格证明和产品合格证书，并按合同约定和监理人指示，进行材料的抽样检验和工程设备的检验测试，检验和测试结果应提交监理人，所需费用由承包人承担。</w:t>
      </w:r>
    </w:p>
    <w:p w14:paraId="2BED28D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Arial"/>
          <w:snapToGrid w:val="0"/>
          <w:color w:val="000000" w:themeColor="text1"/>
          <w:kern w:val="0"/>
          <w:szCs w:val="21"/>
          <w:highlight w:val="none"/>
          <w:lang w:eastAsia="en-US"/>
          <w14:textFill>
            <w14:solidFill>
              <w14:schemeClr w14:val="tx1"/>
            </w14:solidFill>
          </w14:textFill>
        </w:rPr>
      </w:pPr>
      <w:r>
        <w:rPr>
          <w:rFonts w:hint="eastAsia" w:ascii="Arial" w:hAnsi="Arial" w:eastAsia="Arial" w:cs="Arial"/>
          <w:snapToGrid w:val="0"/>
          <w:color w:val="000000" w:themeColor="text1"/>
          <w:kern w:val="0"/>
          <w:szCs w:val="21"/>
          <w:highlight w:val="none"/>
          <w:lang w:eastAsia="en-US"/>
          <w14:textFill>
            <w14:solidFill>
              <w14:schemeClr w14:val="tx1"/>
            </w14:solidFill>
          </w14:textFill>
        </w:rPr>
        <w:t>为了保证工程质量，承包人在履行合同时，可选用上述品牌参考的材料（设备），也可选用参照或相当于参考品牌技术标准的材料（设备），如选用参照或相当于上述参考品牌技术标准的材料（设备）前，</w:t>
      </w:r>
      <w:r>
        <w:rPr>
          <w:rFonts w:hint="eastAsia" w:ascii="Arial" w:hAnsi="Arial" w:eastAsia="Arial" w:cs="Arial"/>
          <w:snapToGrid w:val="0"/>
          <w:color w:val="000000" w:themeColor="text1"/>
          <w:kern w:val="0"/>
          <w:szCs w:val="21"/>
          <w:highlight w:val="none"/>
          <w:u w:val="thick"/>
          <w:lang w:eastAsia="en-US"/>
          <w14:textFill>
            <w14:solidFill>
              <w14:schemeClr w14:val="tx1"/>
            </w14:solidFill>
          </w14:textFill>
        </w:rPr>
        <w:t>须将相关证明材料报监理人及发包人审核、同意，否则发包人有权拒绝接收。</w:t>
      </w:r>
    </w:p>
    <w:p w14:paraId="1EE5BBF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6.3 样品</w:t>
      </w:r>
    </w:p>
    <w:p w14:paraId="0606873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6.3.1 样品的报送与封存</w:t>
      </w:r>
    </w:p>
    <w:p w14:paraId="461A3401">
      <w:pPr>
        <w:keepNext w:val="0"/>
        <w:keepLines w:val="0"/>
        <w:pageBreakBefore w:val="0"/>
        <w:widowControl/>
        <w:tabs>
          <w:tab w:val="left" w:pos="616"/>
        </w:tabs>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宋体" w:cs="宋体"/>
          <w:b/>
          <w:bCs/>
          <w:snapToGrid w:val="0"/>
          <w:color w:val="000000" w:themeColor="text1"/>
          <w:kern w:val="0"/>
          <w:szCs w:val="21"/>
          <w:highlight w:val="none"/>
          <w:u w:val="single"/>
          <w:lang w:eastAsia="zh-CN"/>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需要承包人报送样品的材料或工程设备，样品种类、名称、规格、数量：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bookmarkStart w:id="120" w:name="_Toc6513"/>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双方协商后执行</w:t>
      </w:r>
      <w:bookmarkEnd w:id="120"/>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b/>
          <w:bCs/>
          <w:snapToGrid w:val="0"/>
          <w:color w:val="000000" w:themeColor="text1"/>
          <w:kern w:val="0"/>
          <w:szCs w:val="21"/>
          <w:highlight w:val="none"/>
          <w:u w:val="none"/>
          <w:lang w:eastAsia="zh-CN"/>
          <w14:textFill>
            <w14:solidFill>
              <w14:schemeClr w14:val="tx1"/>
            </w14:solidFill>
          </w14:textFill>
        </w:rPr>
        <w:t>。</w:t>
      </w:r>
    </w:p>
    <w:p w14:paraId="03F1717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6.4 质量检查</w:t>
      </w:r>
    </w:p>
    <w:p w14:paraId="6111507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6.4.1 工程质量要求</w:t>
      </w:r>
    </w:p>
    <w:p w14:paraId="2B88AE3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工程质量的特殊标准或要求：</w:t>
      </w:r>
    </w:p>
    <w:p w14:paraId="3FCB47F3">
      <w:pPr>
        <w:keepNext w:val="0"/>
        <w:keepLines w:val="0"/>
        <w:pageBreakBefore w:val="0"/>
        <w:widowControl/>
        <w:kinsoku w:val="0"/>
        <w:wordWrap/>
        <w:overflowPunct/>
        <w:topLinePunct w:val="0"/>
        <w:autoSpaceDE w:val="0"/>
        <w:autoSpaceDN w:val="0"/>
        <w:bidi w:val="0"/>
        <w:adjustRightInd w:val="0"/>
        <w:snapToGrid w:val="0"/>
        <w:spacing w:before="0" w:after="0" w:afterLines="0" w:line="400" w:lineRule="exact"/>
        <w:ind w:firstLine="422" w:firstLineChars="200"/>
        <w:jc w:val="left"/>
        <w:textAlignment w:val="baseline"/>
        <w:outlineLvl w:val="1"/>
        <w:rPr>
          <w:rFonts w:hint="eastAsia" w:ascii="宋体" w:hAnsi="宋体" w:eastAsia="宋体" w:cs="Times New Roman"/>
          <w:b/>
          <w:bCs/>
          <w:snapToGrid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b/>
          <w:bCs/>
          <w:snapToGrid w:val="0"/>
          <w:color w:val="000000" w:themeColor="text1"/>
          <w:kern w:val="2"/>
          <w:sz w:val="21"/>
          <w:szCs w:val="21"/>
          <w:highlight w:val="none"/>
          <w:lang w:val="en-US" w:eastAsia="zh-CN" w:bidi="ar-SA"/>
          <w14:textFill>
            <w14:solidFill>
              <w14:schemeClr w14:val="tx1"/>
            </w14:solidFill>
          </w14:textFill>
        </w:rPr>
        <w:t>1、设计质量标准：满足国家、行业及地方现行技术标准、设计规范及设计图纸的要求（满足合同签订时最新设计标准）。</w:t>
      </w:r>
    </w:p>
    <w:p w14:paraId="2A4CF8DA">
      <w:pPr>
        <w:keepNext w:val="0"/>
        <w:keepLines w:val="0"/>
        <w:pageBreakBefore w:val="0"/>
        <w:widowControl/>
        <w:kinsoku w:val="0"/>
        <w:wordWrap/>
        <w:overflowPunct/>
        <w:topLinePunct w:val="0"/>
        <w:autoSpaceDE w:val="0"/>
        <w:autoSpaceDN w:val="0"/>
        <w:bidi w:val="0"/>
        <w:adjustRightInd w:val="0"/>
        <w:snapToGrid w:val="0"/>
        <w:spacing w:before="0" w:after="0" w:afterLines="0" w:line="400" w:lineRule="exact"/>
        <w:ind w:firstLine="422" w:firstLineChars="200"/>
        <w:jc w:val="left"/>
        <w:textAlignment w:val="baseline"/>
        <w:outlineLvl w:val="1"/>
        <w:rPr>
          <w:rFonts w:hint="eastAsia" w:ascii="宋体" w:hAnsi="宋体" w:eastAsia="宋体" w:cs="Times New Roman"/>
          <w:b/>
          <w:bCs/>
          <w:snapToGrid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Times New Roman"/>
          <w:b/>
          <w:bCs/>
          <w:snapToGrid w:val="0"/>
          <w:color w:val="000000" w:themeColor="text1"/>
          <w:kern w:val="2"/>
          <w:sz w:val="21"/>
          <w:szCs w:val="21"/>
          <w:highlight w:val="none"/>
          <w:lang w:val="en-US" w:eastAsia="zh-CN" w:bidi="ar-SA"/>
          <w14:textFill>
            <w14:solidFill>
              <w14:schemeClr w14:val="tx1"/>
            </w14:solidFill>
          </w14:textFill>
        </w:rPr>
        <w:t>2、工程所有物资（设备） 采购质量标准：符合招标文件、设计图纸及有关标准、规范的要求。</w:t>
      </w:r>
    </w:p>
    <w:p w14:paraId="152CF900">
      <w:pPr>
        <w:keepNext w:val="0"/>
        <w:keepLines w:val="0"/>
        <w:pageBreakBefore w:val="0"/>
        <w:widowControl/>
        <w:kinsoku w:val="0"/>
        <w:overflowPunct/>
        <w:topLinePunct/>
        <w:autoSpaceDE w:val="0"/>
        <w:autoSpaceDN w:val="0"/>
        <w:bidi w:val="0"/>
        <w:adjustRightInd w:val="0"/>
        <w:snapToGrid w:val="0"/>
        <w:spacing w:line="400" w:lineRule="exact"/>
        <w:ind w:firstLine="422" w:firstLineChars="200"/>
        <w:jc w:val="left"/>
        <w:textAlignment w:val="baseline"/>
        <w:rPr>
          <w:rFonts w:hint="eastAsia" w:ascii="宋体" w:hAnsi="宋体" w:eastAsia="宋体" w:cs="宋体"/>
          <w:b/>
          <w:bCs/>
          <w:i w:val="0"/>
          <w:iCs w:val="0"/>
          <w:snapToGrid w:val="0"/>
          <w:color w:val="000000" w:themeColor="text1"/>
          <w:spacing w:val="0"/>
          <w:kern w:val="0"/>
          <w:sz w:val="21"/>
          <w:szCs w:val="21"/>
          <w:highlight w:val="none"/>
          <w:lang w:val="en-US" w:eastAsia="zh-CN"/>
          <w14:textFill>
            <w14:solidFill>
              <w14:schemeClr w14:val="tx1"/>
            </w14:solidFill>
          </w14:textFill>
        </w:rPr>
      </w:pPr>
      <w:r>
        <w:rPr>
          <w:rFonts w:hint="eastAsia" w:ascii="宋体" w:hAnsi="宋体" w:eastAsia="宋体" w:cs="宋体"/>
          <w:b/>
          <w:bCs/>
          <w:i w:val="0"/>
          <w:iCs w:val="0"/>
          <w:snapToGrid w:val="0"/>
          <w:color w:val="000000" w:themeColor="text1"/>
          <w:spacing w:val="0"/>
          <w:kern w:val="0"/>
          <w:sz w:val="21"/>
          <w:szCs w:val="21"/>
          <w:highlight w:val="none"/>
          <w:lang w:val="en-US" w:eastAsia="zh-CN"/>
          <w14:textFill>
            <w14:solidFill>
              <w14:schemeClr w14:val="tx1"/>
            </w14:solidFill>
          </w14:textFill>
        </w:rPr>
        <w:t>3、施工质量标准：符合国家、行业及地方现行质量验收规范和标准</w:t>
      </w:r>
      <w:r>
        <w:rPr>
          <w:rFonts w:hint="eastAsia" w:ascii="Arial" w:hAnsi="Arial" w:eastAsia="Arial" w:cs="宋体"/>
          <w:b/>
          <w:bCs/>
          <w:i w:val="0"/>
          <w:iCs w:val="0"/>
          <w:snapToGrid w:val="0"/>
          <w:color w:val="000000" w:themeColor="text1"/>
          <w:spacing w:val="0"/>
          <w:kern w:val="0"/>
          <w:sz w:val="21"/>
          <w:szCs w:val="21"/>
          <w:highlight w:val="none"/>
          <w:lang w:val="en-US" w:eastAsia="zh-CN"/>
          <w14:textFill>
            <w14:solidFill>
              <w14:schemeClr w14:val="tx1"/>
            </w14:solidFill>
          </w14:textFill>
        </w:rPr>
        <w:t>以及设计、</w:t>
      </w:r>
      <w:r>
        <w:rPr>
          <w:rFonts w:hint="eastAsia" w:ascii="宋体" w:hAnsi="宋体" w:eastAsia="宋体" w:cs="宋体"/>
          <w:b/>
          <w:bCs/>
          <w:i w:val="0"/>
          <w:iCs w:val="0"/>
          <w:snapToGrid w:val="0"/>
          <w:color w:val="000000" w:themeColor="text1"/>
          <w:spacing w:val="0"/>
          <w:kern w:val="0"/>
          <w:sz w:val="21"/>
          <w:szCs w:val="21"/>
          <w:highlight w:val="none"/>
          <w:lang w:val="en-US" w:eastAsia="zh-CN"/>
          <w14:textFill>
            <w14:solidFill>
              <w14:schemeClr w14:val="tx1"/>
            </w14:solidFill>
          </w14:textFill>
        </w:rPr>
        <w:t>施工图纸要求，一次性验收合格。</w:t>
      </w:r>
    </w:p>
    <w:p w14:paraId="5D60D2C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6.4.2 质量检查</w:t>
      </w:r>
    </w:p>
    <w:p w14:paraId="383A5963">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除通用合同条件已列明的质量检查的地点外，发包人有权进行质量检查的其他地点：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按发包人具体通知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91F152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6.4.3 隐蔽工程检查</w:t>
      </w:r>
    </w:p>
    <w:p w14:paraId="5CCDDD1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关于隐蔽工程和中间验收的特别约定：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承包人应在共同检查前24小时书面通知监理单位，通知中应明确隐蔽工程检查的内容和时间、地点，并附有自检记录和必要的检查资料。</w:t>
      </w:r>
    </w:p>
    <w:p w14:paraId="6AE57B4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隐蔽工程验收过程、验收部位除办理纸质验收记录，还应留置验收部位、验收过程、主要验收人员现场验收照片、影像等资料。</w:t>
      </w:r>
    </w:p>
    <w:p w14:paraId="14E555F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6.5 由承包人试验和检验</w:t>
      </w:r>
    </w:p>
    <w:p w14:paraId="3291E24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6.5.1 试验设备与试验人员</w:t>
      </w:r>
    </w:p>
    <w:p w14:paraId="453BC04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bookmarkStart w:id="121" w:name="_Toc54862338"/>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试验的内容、时间和地点：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749020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试验所需要的试验设备、取样装置、试验场所和试验条件：</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A8D92B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试验和检验费用的计价原则：</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Arial" w:hAnsi="Arial" w:eastAsia="Arial" w:cs="宋体"/>
          <w:snapToGrid w:val="0"/>
          <w:color w:val="000000" w:themeColor="text1"/>
          <w:kern w:val="0"/>
          <w:szCs w:val="21"/>
          <w:highlight w:val="none"/>
          <w:u w:val="single"/>
          <w:lang w:eastAsia="en-US"/>
          <w14:textFill>
            <w14:solidFill>
              <w14:schemeClr w14:val="tx1"/>
            </w14:solidFill>
          </w14:textFill>
        </w:rPr>
        <w:t>由承包人承担</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E2936EF">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第7条 施工</w:t>
      </w:r>
      <w:bookmarkEnd w:id="121"/>
    </w:p>
    <w:p w14:paraId="0B97D05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7.1 交通运输</w:t>
      </w:r>
    </w:p>
    <w:p w14:paraId="4A523BE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7.1.1 出入现场的权利</w:t>
      </w:r>
    </w:p>
    <w:p w14:paraId="59EF975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关于出入现场的权利的约定：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承包人负责出入现场的管理工作，并承担相应的管理责任及费用，但发包人有权根据项目管理的需要，随时进入施工现场，承包人应提供相应的便利条件。</w:t>
      </w:r>
    </w:p>
    <w:p w14:paraId="1570378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7.1.2 场外交通</w:t>
      </w:r>
    </w:p>
    <w:p w14:paraId="3F2D88E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关于场外交通的特别约定：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承包人自行踏勘场外交通设施，如无法满足工程施工需要的，由承包人自行解决并承担由此产生的相关费用</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080CE5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7.1.3 场内交通</w:t>
      </w:r>
    </w:p>
    <w:p w14:paraId="140A6DE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关于场内交通的特别约定：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应负责修建、维修、养护和管理施工所需的临时道路和交通设施，包括维修、养护和管理发包人提供的道路和交通设施，并承担相应费用。承包人修建的临时道路和交通设施应免费提供发包人为实现合同目的使用</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6E17AE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关于场内交通与场外交通边界的约定：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3ED075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7.1.4 超大件和超重件的运输</w:t>
      </w:r>
    </w:p>
    <w:p w14:paraId="7287BBA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运输超大件或超重件所需的道路和桥梁临时加固改造费用和其他有关费用由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承担。</w:t>
      </w:r>
    </w:p>
    <w:p w14:paraId="3EA70BF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7.2 施工设备和临时设施</w:t>
      </w:r>
    </w:p>
    <w:p w14:paraId="441655B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7.2.1 承包人提供的施工设备和临时设施</w:t>
      </w:r>
    </w:p>
    <w:p w14:paraId="159DC080">
      <w:pPr>
        <w:keepNext w:val="0"/>
        <w:keepLines w:val="0"/>
        <w:pageBreakBefore w:val="0"/>
        <w:kinsoku w:val="0"/>
        <w:overflowPunct/>
        <w:autoSpaceDE w:val="0"/>
        <w:autoSpaceDN w:val="0"/>
        <w:bidi w:val="0"/>
        <w:adjustRightInd w:val="0"/>
        <w:snapToGrid w:val="0"/>
        <w:spacing w:line="400" w:lineRule="exact"/>
        <w:ind w:firstLine="420" w:firstLineChars="200"/>
        <w:jc w:val="left"/>
        <w:textAlignment w:val="baseline"/>
        <w:rPr>
          <w:rFonts w:hint="default" w:ascii="宋体" w:hAnsi="宋体" w:eastAsia="宋体" w:cs="宋体"/>
          <w:b/>
          <w:bCs w:val="0"/>
          <w:snapToGrid w:val="0"/>
          <w:color w:val="000000" w:themeColor="text1"/>
          <w:kern w:val="0"/>
          <w:sz w:val="21"/>
          <w:szCs w:val="21"/>
          <w:highlight w:val="none"/>
          <w:u w:val="single"/>
          <w:lang w:val="en-US" w:eastAsia="zh-CN" w:bidi="ar-SA"/>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val="en-US" w:eastAsia="en-US" w:bidi="ar-SA"/>
          <w14:textFill>
            <w14:solidFill>
              <w14:schemeClr w14:val="tx1"/>
            </w14:solidFill>
          </w14:textFill>
        </w:rPr>
        <w:t>临时设施的费用和临时占地手续和费用承担的特别约定：</w:t>
      </w:r>
      <w:r>
        <w:rPr>
          <w:rFonts w:hint="eastAsia" w:ascii="宋体" w:hAnsi="宋体" w:eastAsia="Arial" w:cs="宋体"/>
          <w:b/>
          <w:snapToGrid w:val="0"/>
          <w:color w:val="000000" w:themeColor="text1"/>
          <w:kern w:val="0"/>
          <w:sz w:val="21"/>
          <w:szCs w:val="21"/>
          <w:highlight w:val="none"/>
          <w:u w:val="single"/>
          <w:lang w:val="en-US" w:eastAsia="en-US" w:bidi="ar-SA"/>
          <w14:textFill>
            <w14:solidFill>
              <w14:schemeClr w14:val="tx1"/>
            </w14:solidFill>
          </w14:textFill>
        </w:rPr>
        <w:t>由承包人承担</w:t>
      </w:r>
      <w:r>
        <w:rPr>
          <w:rFonts w:hint="eastAsia" w:ascii="宋体" w:hAnsi="宋体" w:eastAsia="Arial" w:cs="宋体"/>
          <w:b/>
          <w:bCs w:val="0"/>
          <w:snapToGrid w:val="0"/>
          <w:color w:val="000000" w:themeColor="text1"/>
          <w:kern w:val="0"/>
          <w:sz w:val="21"/>
          <w:szCs w:val="21"/>
          <w:highlight w:val="none"/>
          <w:u w:val="single"/>
          <w:lang w:val="en-US" w:eastAsia="zh-CN" w:bidi="ar-SA"/>
          <w14:textFill>
            <w14:solidFill>
              <w14:schemeClr w14:val="tx1"/>
            </w14:solidFill>
          </w14:textFill>
        </w:rPr>
        <w:t>。</w:t>
      </w:r>
      <w:r>
        <w:rPr>
          <w:rFonts w:hint="eastAsia" w:ascii="宋体" w:hAnsi="宋体" w:eastAsia="Arial" w:cs="宋体"/>
          <w:b/>
          <w:bCs w:val="0"/>
          <w:snapToGrid w:val="0"/>
          <w:color w:val="000000" w:themeColor="text1"/>
          <w:kern w:val="0"/>
          <w:sz w:val="21"/>
          <w:szCs w:val="21"/>
          <w:highlight w:val="none"/>
          <w:u w:val="single"/>
          <w:lang w:val="en-US" w:eastAsia="en-US" w:bidi="ar-SA"/>
          <w14:textFill>
            <w14:solidFill>
              <w14:schemeClr w14:val="tx1"/>
            </w14:solidFill>
          </w14:textFill>
        </w:rPr>
        <w:t>临时设施</w:t>
      </w:r>
      <w:r>
        <w:rPr>
          <w:rFonts w:hint="eastAsia" w:ascii="宋体" w:hAnsi="宋体" w:eastAsia="Arial" w:cs="宋体"/>
          <w:b/>
          <w:bCs w:val="0"/>
          <w:snapToGrid w:val="0"/>
          <w:color w:val="000000" w:themeColor="text1"/>
          <w:kern w:val="0"/>
          <w:sz w:val="21"/>
          <w:szCs w:val="21"/>
          <w:highlight w:val="none"/>
          <w:u w:val="single"/>
          <w:lang w:val="en-US" w:eastAsia="zh-CN" w:bidi="ar-SA"/>
          <w14:textFill>
            <w14:solidFill>
              <w14:schemeClr w14:val="tx1"/>
            </w14:solidFill>
          </w14:textFill>
        </w:rPr>
        <w:t>的拆除应在竣工验收合格之日起30日历天清理完毕，逾期按违约处理。</w:t>
      </w:r>
    </w:p>
    <w:p w14:paraId="32FDEDC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7.2.2 发包人提供的施工设备和临时设施</w:t>
      </w:r>
    </w:p>
    <w:p w14:paraId="6CAA9DF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发包人提供的施工设备或临时设施范围：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发包人不提供施工设备和临时设施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41D164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7.3 现场合作</w:t>
      </w:r>
    </w:p>
    <w:p w14:paraId="1B8FE17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关于现场合作费用的特别约定：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3717A3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7.4 测量放线</w:t>
      </w:r>
    </w:p>
    <w:p w14:paraId="2EBB0F2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7.4.1 关于测量放线的特别约定的技术规范：</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。施工控制网资料的告知期限：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FCCC2F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7.5 现场劳动用工</w:t>
      </w:r>
    </w:p>
    <w:p w14:paraId="783FE14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7.5.2 合同当事人对建筑工人工资清偿事宜和违约责任的约定：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D40655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7.6 安全文明施工</w:t>
      </w:r>
    </w:p>
    <w:p w14:paraId="3A20B3C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7.6.1 安全生产要求</w:t>
      </w:r>
    </w:p>
    <w:p w14:paraId="1076D91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合同当事人对安全施工的要求</w:t>
      </w:r>
      <w:bookmarkStart w:id="122" w:name="_Toc8296"/>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项目安全生产的达标目标及相应事项的约定：施工现场按照《建筑施工安全检查标准》（JGJ59-2011）要求，达到地方行业主管部门的要求。</w:t>
      </w:r>
      <w:bookmarkEnd w:id="122"/>
    </w:p>
    <w:p w14:paraId="461DF39C">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承包人按规定自行向建设行政各主管部门、城市行政主管部门等相关职能部门办理相关手续，施工组织须符合管理部门的要求，发包人给予协调，费用不予增加。承包人必须做好安全文明施工、环境保护（扬尘、排污、泥浆外运等）工作。因承包人导致安全事故、行政主管部门的处罚产生相应的责任，全部由承包人自行承担。</w:t>
      </w:r>
    </w:p>
    <w:p w14:paraId="1C2DF5D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（2）安全文明施工措施费不得挪作他用，须专款专用，工程实施过程中根据投标文件的承诺，使用时经监理单位、发包人审查。</w:t>
      </w:r>
    </w:p>
    <w:p w14:paraId="08ED848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（3）承包人必须严格执行标准（国家及地方标准）及国家</w:t>
      </w:r>
      <w:r>
        <w:rPr>
          <w:rFonts w:hint="eastAsia" w:ascii="宋体" w:hAnsi="宋体" w:eastAsia="Arial" w:cs="宋体"/>
          <w:snapToGrid w:val="0"/>
          <w:color w:val="000000" w:themeColor="text1"/>
          <w:kern w:val="0"/>
          <w:szCs w:val="21"/>
          <w:highlight w:val="none"/>
          <w:u w:val="single"/>
          <w:lang w:eastAsia="zh-CN"/>
          <w14:textFill>
            <w14:solidFill>
              <w14:schemeClr w14:val="tx1"/>
            </w14:solidFill>
          </w14:textFill>
        </w:rPr>
        <w:t>建设工程安全生产管理条例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w:t>
      </w:r>
    </w:p>
    <w:p w14:paraId="01E6160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7.6.3 文明施工</w:t>
      </w:r>
    </w:p>
    <w:p w14:paraId="4F0C056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合同当事人对文明施工的要求：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要求达到《建筑施工现场环境与卫生标准》（JGJ146-2013、J375-2013）标准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04073E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7.9 临时性公用设施</w:t>
      </w:r>
    </w:p>
    <w:p w14:paraId="1DB05AA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关于临时性公用设施的特别约定：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E3E44D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7.10 现场安保</w:t>
      </w:r>
    </w:p>
    <w:p w14:paraId="75661F8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承包人现场安保义务的特别约定：</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承包人应当负责统一管理施工场地的治安保卫事项，履行合同工程的治安保卫职责</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4D7BA54">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pPr>
      <w:bookmarkStart w:id="123" w:name="_Toc54862339"/>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第8条 工期和进度</w:t>
      </w:r>
      <w:bookmarkEnd w:id="123"/>
    </w:p>
    <w:p w14:paraId="78E8889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8.1 开始工作</w:t>
      </w:r>
    </w:p>
    <w:p w14:paraId="71C765C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8.1.1 开始准备工作：</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098472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8.1.2 发包人可在计划开始工作之日起84日后发出开始工作通知的特殊情形：</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589073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8.2 竣工日期</w:t>
      </w:r>
    </w:p>
    <w:p w14:paraId="0576AFD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竣工日期的约定：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经验收合格的工程，实际竣工日期为承包人提交竣工验收申请报告或按照本款重新提交竣工验收申请报告的日期(以两者中时间在后者为准)。</w:t>
      </w:r>
    </w:p>
    <w:p w14:paraId="04E5F44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8.3 项目实施计划</w:t>
      </w:r>
    </w:p>
    <w:p w14:paraId="5A520DC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8.3.1 项目实施计划的内容</w:t>
      </w:r>
    </w:p>
    <w:p w14:paraId="65EDC99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项目实施计划的内容：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包括设计、承包人文件提交、采购、制造、检验、运达现场、施工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B713B0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8.3.2 项目实施计划的提交和修改</w:t>
      </w:r>
    </w:p>
    <w:p w14:paraId="2A6653D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项目实施计划的提交及修改期限：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承包人应在合同签订之日起7日内提交详细的项目实施计划并报送监理单位。监理单位应在7日内批复或提出修改意见并报发包人确认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D11653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8.4 项目进度计划</w:t>
      </w:r>
    </w:p>
    <w:p w14:paraId="3BB2A50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8.4.1 工程师在收到进度计划后确认或提出修改意见的期限：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7日内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1A9BEA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8.4.2 进度计划的具体要求：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按本合同专用条款</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88DFBE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关键路径及关键路径变化的确定原则：</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820413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承包人提交项目进度计划的份数和时间：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368B3F1">
      <w:pPr>
        <w:keepNext w:val="0"/>
        <w:keepLines w:val="0"/>
        <w:pageBreakBefore w:val="0"/>
        <w:widowControl/>
        <w:kinsoku w:val="0"/>
        <w:overflowPunct/>
        <w:autoSpaceDE w:val="0"/>
        <w:autoSpaceDN w:val="0"/>
        <w:bidi w:val="0"/>
        <w:adjustRightInd w:val="0"/>
        <w:snapToGrid w:val="0"/>
        <w:spacing w:line="400" w:lineRule="exact"/>
        <w:ind w:firstLine="420" w:firstLineChars="200"/>
        <w:contextualSpacing/>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8.4.3 进度计划的修订</w:t>
      </w:r>
    </w:p>
    <w:p w14:paraId="1A580031">
      <w:pPr>
        <w:keepNext w:val="0"/>
        <w:keepLines w:val="0"/>
        <w:pageBreakBefore w:val="0"/>
        <w:widowControl/>
        <w:kinsoku w:val="0"/>
        <w:overflowPunct/>
        <w:autoSpaceDE w:val="0"/>
        <w:autoSpaceDN w:val="0"/>
        <w:bidi w:val="0"/>
        <w:adjustRightInd w:val="0"/>
        <w:snapToGrid w:val="0"/>
        <w:spacing w:line="400" w:lineRule="exact"/>
        <w:ind w:left="-36" w:leftChars="-17" w:firstLine="420" w:firstLineChars="200"/>
        <w:contextualSpacing/>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承包人提交修订项目进度计划申请报告的期限：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发包人和监理人应在收到修订的施工进度计划后 7 </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内完成审核和批准或提出修改意见。</w:t>
      </w:r>
    </w:p>
    <w:p w14:paraId="2F6BEE8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发包人批复修订项目进度计划申请报告的期限：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收到修订的项目进度计划后7</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内</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156AEC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承包人答复发包人提出修订合同计划的期限：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收到修订合同计划后7</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内</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5F3AA2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8.5 进度报告</w:t>
      </w:r>
    </w:p>
    <w:p w14:paraId="233001D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进度报告的具体要求：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按发包人及监理单位要求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DC09AB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8.7 工期延误</w:t>
      </w:r>
    </w:p>
    <w:p w14:paraId="33B4F09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8.7.2 因承包人原因导致工期延误</w:t>
      </w:r>
    </w:p>
    <w:p w14:paraId="6B30B547">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auto"/>
          <w:kern w:val="0"/>
          <w:szCs w:val="21"/>
          <w:highlight w:val="none"/>
          <w:lang w:eastAsia="en-US"/>
        </w:rPr>
      </w:pPr>
      <w:r>
        <w:rPr>
          <w:rFonts w:hint="eastAsia" w:ascii="宋体" w:hAnsi="宋体" w:eastAsia="Arial" w:cs="宋体"/>
          <w:b/>
          <w:bCs/>
          <w:snapToGrid w:val="0"/>
          <w:color w:val="auto"/>
          <w:kern w:val="0"/>
          <w:szCs w:val="21"/>
          <w:highlight w:val="none"/>
          <w:lang w:eastAsia="en-US"/>
        </w:rPr>
        <w:t>实际工期（签证工期除外）比合同工期每拖延一</w:t>
      </w:r>
      <w:r>
        <w:rPr>
          <w:rFonts w:hint="eastAsia" w:ascii="宋体" w:hAnsi="宋体" w:eastAsia="宋体" w:cs="宋体"/>
          <w:b/>
          <w:bCs/>
          <w:snapToGrid w:val="0"/>
          <w:color w:val="auto"/>
          <w:kern w:val="0"/>
          <w:szCs w:val="21"/>
          <w:highlight w:val="none"/>
          <w:lang w:eastAsia="zh-CN"/>
        </w:rPr>
        <w:t>日</w:t>
      </w:r>
      <w:r>
        <w:rPr>
          <w:rFonts w:hint="eastAsia" w:ascii="宋体" w:hAnsi="宋体" w:eastAsia="Arial" w:cs="宋体"/>
          <w:b/>
          <w:bCs/>
          <w:snapToGrid w:val="0"/>
          <w:color w:val="auto"/>
          <w:kern w:val="0"/>
          <w:szCs w:val="21"/>
          <w:highlight w:val="none"/>
          <w:lang w:eastAsia="en-US"/>
        </w:rPr>
        <w:t>，按</w:t>
      </w:r>
      <w:r>
        <w:rPr>
          <w:rFonts w:hint="eastAsia" w:ascii="宋体" w:hAnsi="宋体" w:cs="宋体"/>
          <w:b/>
          <w:bCs/>
          <w:snapToGrid w:val="0"/>
          <w:color w:val="auto"/>
          <w:kern w:val="0"/>
          <w:szCs w:val="21"/>
          <w:highlight w:val="none"/>
          <w:lang w:val="en-US" w:eastAsia="zh-CN"/>
        </w:rPr>
        <w:t>1</w:t>
      </w:r>
      <w:r>
        <w:rPr>
          <w:rFonts w:hint="eastAsia" w:ascii="宋体" w:hAnsi="宋体" w:eastAsia="Arial" w:cs="宋体"/>
          <w:b/>
          <w:bCs/>
          <w:snapToGrid w:val="0"/>
          <w:color w:val="auto"/>
          <w:kern w:val="0"/>
          <w:szCs w:val="21"/>
          <w:highlight w:val="none"/>
          <w:lang w:eastAsia="en-US"/>
        </w:rPr>
        <w:t>0000元/</w:t>
      </w:r>
      <w:r>
        <w:rPr>
          <w:rFonts w:hint="eastAsia" w:ascii="宋体" w:hAnsi="宋体" w:eastAsia="宋体" w:cs="宋体"/>
          <w:b/>
          <w:bCs/>
          <w:snapToGrid w:val="0"/>
          <w:color w:val="auto"/>
          <w:kern w:val="0"/>
          <w:szCs w:val="21"/>
          <w:highlight w:val="none"/>
          <w:lang w:eastAsia="zh-CN"/>
        </w:rPr>
        <w:t>日</w:t>
      </w:r>
      <w:r>
        <w:rPr>
          <w:rFonts w:hint="eastAsia" w:ascii="宋体" w:hAnsi="宋体" w:eastAsia="Arial" w:cs="宋体"/>
          <w:b/>
          <w:bCs/>
          <w:snapToGrid w:val="0"/>
          <w:color w:val="auto"/>
          <w:kern w:val="0"/>
          <w:szCs w:val="21"/>
          <w:highlight w:val="none"/>
          <w:lang w:eastAsia="en-US"/>
        </w:rPr>
        <w:t>进行处罚，实际工期（签证工期除外）比合同工期每</w:t>
      </w:r>
      <w:r>
        <w:rPr>
          <w:rFonts w:hint="eastAsia" w:ascii="宋体" w:hAnsi="宋体" w:eastAsia="宋体" w:cs="宋体"/>
          <w:b/>
          <w:bCs/>
          <w:snapToGrid w:val="0"/>
          <w:color w:val="auto"/>
          <w:kern w:val="0"/>
          <w:szCs w:val="21"/>
          <w:highlight w:val="none"/>
          <w:lang w:eastAsia="zh-CN"/>
        </w:rPr>
        <w:t>提早</w:t>
      </w:r>
      <w:r>
        <w:rPr>
          <w:rFonts w:hint="eastAsia" w:ascii="宋体" w:hAnsi="宋体" w:eastAsia="Arial" w:cs="宋体"/>
          <w:b/>
          <w:bCs/>
          <w:snapToGrid w:val="0"/>
          <w:color w:val="auto"/>
          <w:kern w:val="0"/>
          <w:szCs w:val="21"/>
          <w:highlight w:val="none"/>
          <w:lang w:eastAsia="en-US"/>
        </w:rPr>
        <w:t>一</w:t>
      </w:r>
      <w:r>
        <w:rPr>
          <w:rFonts w:hint="eastAsia" w:ascii="宋体" w:hAnsi="宋体" w:eastAsia="宋体" w:cs="宋体"/>
          <w:b/>
          <w:bCs/>
          <w:snapToGrid w:val="0"/>
          <w:color w:val="auto"/>
          <w:kern w:val="0"/>
          <w:szCs w:val="21"/>
          <w:highlight w:val="none"/>
          <w:lang w:eastAsia="zh-CN"/>
        </w:rPr>
        <w:t>日</w:t>
      </w:r>
      <w:r>
        <w:rPr>
          <w:rFonts w:hint="eastAsia" w:ascii="宋体" w:hAnsi="宋体" w:eastAsia="Arial" w:cs="宋体"/>
          <w:b/>
          <w:bCs/>
          <w:snapToGrid w:val="0"/>
          <w:color w:val="auto"/>
          <w:kern w:val="0"/>
          <w:szCs w:val="21"/>
          <w:highlight w:val="none"/>
          <w:lang w:eastAsia="en-US"/>
        </w:rPr>
        <w:t>，按</w:t>
      </w:r>
      <w:r>
        <w:rPr>
          <w:rFonts w:hint="eastAsia" w:ascii="宋体" w:hAnsi="宋体" w:cs="宋体"/>
          <w:b/>
          <w:bCs/>
          <w:snapToGrid w:val="0"/>
          <w:color w:val="auto"/>
          <w:kern w:val="0"/>
          <w:szCs w:val="21"/>
          <w:highlight w:val="none"/>
          <w:lang w:val="en-US" w:eastAsia="zh-CN"/>
        </w:rPr>
        <w:t>1</w:t>
      </w:r>
      <w:r>
        <w:rPr>
          <w:rFonts w:hint="eastAsia" w:ascii="宋体" w:hAnsi="宋体" w:eastAsia="Arial" w:cs="宋体"/>
          <w:b/>
          <w:bCs/>
          <w:snapToGrid w:val="0"/>
          <w:color w:val="auto"/>
          <w:kern w:val="0"/>
          <w:szCs w:val="21"/>
          <w:highlight w:val="none"/>
          <w:lang w:eastAsia="en-US"/>
        </w:rPr>
        <w:t>0000元/</w:t>
      </w:r>
      <w:r>
        <w:rPr>
          <w:rFonts w:hint="eastAsia" w:ascii="宋体" w:hAnsi="宋体" w:eastAsia="宋体" w:cs="宋体"/>
          <w:b/>
          <w:bCs/>
          <w:snapToGrid w:val="0"/>
          <w:color w:val="auto"/>
          <w:kern w:val="0"/>
          <w:szCs w:val="21"/>
          <w:highlight w:val="none"/>
          <w:lang w:eastAsia="zh-CN"/>
        </w:rPr>
        <w:t>日</w:t>
      </w:r>
      <w:r>
        <w:rPr>
          <w:rFonts w:hint="eastAsia" w:ascii="宋体" w:hAnsi="宋体" w:eastAsia="Arial" w:cs="宋体"/>
          <w:b/>
          <w:bCs/>
          <w:snapToGrid w:val="0"/>
          <w:color w:val="auto"/>
          <w:kern w:val="0"/>
          <w:szCs w:val="21"/>
          <w:highlight w:val="none"/>
          <w:lang w:eastAsia="en-US"/>
        </w:rPr>
        <w:t>进行</w:t>
      </w:r>
      <w:r>
        <w:rPr>
          <w:rFonts w:hint="eastAsia" w:ascii="宋体" w:hAnsi="宋体" w:eastAsia="宋体" w:cs="宋体"/>
          <w:b/>
          <w:bCs/>
          <w:snapToGrid w:val="0"/>
          <w:color w:val="auto"/>
          <w:kern w:val="0"/>
          <w:szCs w:val="21"/>
          <w:highlight w:val="none"/>
          <w:lang w:eastAsia="zh-CN"/>
        </w:rPr>
        <w:t>奖励。</w:t>
      </w:r>
      <w:r>
        <w:rPr>
          <w:rFonts w:hint="eastAsia" w:ascii="宋体" w:hAnsi="宋体" w:eastAsia="Arial" w:cs="宋体"/>
          <w:snapToGrid w:val="0"/>
          <w:color w:val="auto"/>
          <w:kern w:val="0"/>
          <w:szCs w:val="21"/>
          <w:highlight w:val="none"/>
          <w:lang w:eastAsia="en-US"/>
        </w:rPr>
        <w:t>并承担由此造成的所有直接和间接损失。发包人原因造成的工期延误除外。从承包人的履约保证金中扣除，不足部分发包人有权在进度款中直接扣除，当履约保证金或履约担保保函金额不足时，承包人须在7个工作日内足额补齐，否则发包人将不予支付工程进度款。</w:t>
      </w:r>
    </w:p>
    <w:p w14:paraId="4443211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8.7.3 行政审批迟延</w:t>
      </w:r>
    </w:p>
    <w:p w14:paraId="2C17C5D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行政审批报送的职责分工：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4407B6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8.7.4 异常恶劣的气候条件</w:t>
      </w:r>
    </w:p>
    <w:p w14:paraId="6B5C416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双方约定视为异常恶劣的气候条件的情形：</w:t>
      </w:r>
    </w:p>
    <w:p w14:paraId="21420578">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(1)8级以上持续24小时的大风、台风</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6AD6ED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(2)24小时内持续降雨且降水量为200mm以上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A21330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(3)持续3日最高温度达到40摄氏度以上的高温天气</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B4553F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8.8 工期提前</w:t>
      </w:r>
    </w:p>
    <w:p w14:paraId="53C5AE8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8.8.2 承包人提前竣工的奖励：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0EACE38">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val="0"/>
          <w:bCs/>
          <w:snapToGrid w:val="0"/>
          <w:color w:val="000000" w:themeColor="text1"/>
          <w:kern w:val="0"/>
          <w:sz w:val="21"/>
          <w:szCs w:val="21"/>
          <w:highlight w:val="none"/>
          <w:lang w:val="en-US" w:eastAsia="en-US" w:bidi="ar-SA"/>
          <w14:textFill>
            <w14:solidFill>
              <w14:schemeClr w14:val="tx1"/>
            </w14:solidFill>
          </w14:textFill>
        </w:rPr>
      </w:pPr>
      <w:bookmarkStart w:id="124" w:name="_Toc54862340"/>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第9条 竣工试验</w:t>
      </w:r>
      <w:bookmarkEnd w:id="124"/>
    </w:p>
    <w:p w14:paraId="581A1B3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bookmarkStart w:id="125" w:name="_Toc4784272"/>
      <w:bookmarkEnd w:id="125"/>
      <w:bookmarkStart w:id="126" w:name="_Toc4784273"/>
      <w:bookmarkEnd w:id="126"/>
      <w:bookmarkStart w:id="127" w:name="_Toc54862341"/>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9.1 竣工试验的义务</w:t>
      </w:r>
    </w:p>
    <w:p w14:paraId="7EDC202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9.1.3 竣工试验的阶段、内容和顺序：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B72A8D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zh-CN"/>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竣工试验的操作要求：</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承包人负责提供试、运行所需的人员、设备、材料、燃料、电力、消耗品、工具等必要的条件，并承担试运行费用</w:t>
      </w:r>
      <w:r>
        <w:rPr>
          <w:rFonts w:hint="eastAsia" w:ascii="宋体" w:hAnsi="宋体" w:eastAsia="Arial" w:cs="宋体"/>
          <w:snapToGrid w:val="0"/>
          <w:color w:val="000000" w:themeColor="text1"/>
          <w:kern w:val="0"/>
          <w:szCs w:val="21"/>
          <w:highlight w:val="none"/>
          <w:u w:val="single"/>
          <w:lang w:eastAsia="zh-CN"/>
          <w14:textFill>
            <w14:solidFill>
              <w14:schemeClr w14:val="tx1"/>
            </w14:solidFill>
          </w14:textFill>
        </w:rPr>
        <w:t>；</w:t>
      </w:r>
    </w:p>
    <w:p w14:paraId="11F3C1D0">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第10条 验收和工程接收</w:t>
      </w:r>
      <w:bookmarkEnd w:id="127"/>
    </w:p>
    <w:p w14:paraId="617646DC">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val="0"/>
          <w:snapToGrid w:val="0"/>
          <w:color w:val="000000" w:themeColor="text1"/>
          <w:kern w:val="0"/>
          <w:szCs w:val="21"/>
          <w:highlight w:val="none"/>
          <w:lang w:eastAsia="en-US"/>
          <w14:textFill>
            <w14:solidFill>
              <w14:schemeClr w14:val="tx1"/>
            </w14:solidFill>
          </w14:textFill>
        </w:rPr>
        <w:t>10.1 竣工验收</w:t>
      </w:r>
    </w:p>
    <w:p w14:paraId="3EF5C3B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10.1.2 关于竣工验收程序的约定：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F4996C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bookmarkStart w:id="128" w:name="_Hlk46406260"/>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发包人不按照合同约定组织竣工验收、颁发工程接受证书的违约金的计算方式：</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不计违约金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bookmarkEnd w:id="128"/>
    <w:p w14:paraId="04515A08">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10.3工程的接收</w:t>
      </w:r>
    </w:p>
    <w:p w14:paraId="17EFBD3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 w:val="21"/>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eastAsia="en-US"/>
          <w14:textFill>
            <w14:solidFill>
              <w14:schemeClr w14:val="tx1"/>
            </w14:solidFill>
          </w14:textFill>
        </w:rPr>
        <w:t>10.3.1工程接收的先后顺序、时间安排和其他要求：</w:t>
      </w:r>
      <w:r>
        <w:rPr>
          <w:rFonts w:hint="eastAsia" w:ascii="宋体" w:hAnsi="宋体" w:eastAsia="Arial" w:cs="宋体"/>
          <w:snapToGrid w:val="0"/>
          <w:color w:val="000000" w:themeColor="text1"/>
          <w:kern w:val="0"/>
          <w:sz w:val="21"/>
          <w:szCs w:val="21"/>
          <w:highlight w:val="none"/>
          <w:u w:val="single"/>
          <w:lang w:eastAsia="en-US"/>
          <w14:textFill>
            <w14:solidFill>
              <w14:schemeClr w14:val="tx1"/>
            </w14:solidFill>
          </w14:textFill>
        </w:rPr>
        <w:t xml:space="preserve"> 按通用条款 。</w:t>
      </w:r>
    </w:p>
    <w:p w14:paraId="3300B867">
      <w:pPr>
        <w:keepNext w:val="0"/>
        <w:keepLines w:val="0"/>
        <w:pageBreakBefore w:val="0"/>
        <w:kinsoku w:val="0"/>
        <w:overflowPunct/>
        <w:topLinePunct/>
        <w:autoSpaceDE w:val="0"/>
        <w:autoSpaceDN w:val="0"/>
        <w:bidi w:val="0"/>
        <w:adjustRightInd w:val="0"/>
        <w:snapToGrid w:val="0"/>
        <w:spacing w:after="0" w:line="400" w:lineRule="exact"/>
        <w:ind w:firstLine="420" w:firstLineChars="200"/>
        <w:jc w:val="left"/>
        <w:textAlignment w:val="baseline"/>
        <w:rPr>
          <w:rFonts w:ascii="Arial" w:hAnsi="Arial"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t>10.3.2 接受工程时承包人需提交竣工验收资料的类别、内容、份数和提交时间：</w:t>
      </w:r>
      <w:r>
        <w:rPr>
          <w:rFonts w:hint="eastAsia" w:asciiTheme="minorEastAsia" w:hAnsiTheme="minorEastAsia" w:eastAsiaTheme="minorEastAsia" w:cstheme="minorEastAsia"/>
          <w:snapToGrid w:val="0"/>
          <w:color w:val="000000" w:themeColor="text1"/>
          <w:kern w:val="0"/>
          <w:sz w:val="21"/>
          <w:szCs w:val="21"/>
          <w:highlight w:val="none"/>
          <w:u w:val="single"/>
          <w:lang w:val="en-US" w:eastAsia="en-US" w:bidi="ar-SA"/>
          <w14:textFill>
            <w14:solidFill>
              <w14:schemeClr w14:val="tx1"/>
            </w14:solidFill>
          </w14:textFill>
        </w:rPr>
        <w:t>原件三套，复印件五套和二套电</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子版。</w:t>
      </w:r>
    </w:p>
    <w:p w14:paraId="7A0C262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 w:val="21"/>
          <w:szCs w:val="21"/>
          <w:highlight w:val="none"/>
          <w:lang w:eastAsia="en-US"/>
          <w14:textFill>
            <w14:solidFill>
              <w14:schemeClr w14:val="tx1"/>
            </w14:solidFill>
          </w14:textFill>
        </w:rPr>
        <w:t>10.3.3 发包人逾期接收工程的违约责任：</w:t>
      </w:r>
      <w:r>
        <w:rPr>
          <w:rFonts w:hint="eastAsia" w:ascii="宋体" w:hAnsi="宋体" w:eastAsia="Arial" w:cs="宋体"/>
          <w:snapToGrid w:val="0"/>
          <w:color w:val="000000" w:themeColor="text1"/>
          <w:kern w:val="0"/>
          <w:sz w:val="21"/>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 w:val="21"/>
          <w:szCs w:val="21"/>
          <w:highlight w:val="none"/>
          <w:lang w:eastAsia="en-US"/>
          <w14:textFill>
            <w14:solidFill>
              <w14:schemeClr w14:val="tx1"/>
            </w14:solidFill>
          </w14:textFill>
        </w:rPr>
        <w:t>。</w:t>
      </w:r>
    </w:p>
    <w:p w14:paraId="2415729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10.3.4 承包人无正当理由不移交工程的违约责任：</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承包人应承担工程照管、成品保护、保管等与工程有关的各项费用,给发包人造成经济损失的，承包人应赔偿给发包人造成的经济损失</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47F2A9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10.4 接收证书</w:t>
      </w:r>
    </w:p>
    <w:p w14:paraId="6B27756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10.4.1 工程接收证书颁发时间：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按通用条款执行</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5E8571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10.5 竣工退场</w:t>
      </w:r>
    </w:p>
    <w:p w14:paraId="5D93CB8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10.5.1 竣工退场的相关约定：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监理单位颁发(出具)工程接收证书后，承包人负责按照通用合同条款本项约定的要求对施工场地进行清理并承担相关费用，直至监理单位检验合格为止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B67BCF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10.5.3人员撤离</w:t>
      </w:r>
    </w:p>
    <w:p w14:paraId="7E7C3ABD">
      <w:pPr>
        <w:keepNext w:val="0"/>
        <w:keepLines w:val="0"/>
        <w:pageBreakBefore w:val="0"/>
        <w:widowControl/>
        <w:numPr>
          <w:ilvl w:val="0"/>
          <w:numId w:val="0"/>
        </w:numPr>
        <w:kinsoku w:val="0"/>
        <w:overflowPunct/>
        <w:topLinePunct/>
        <w:autoSpaceDE w:val="0"/>
        <w:autoSpaceDN w:val="0"/>
        <w:bidi w:val="0"/>
        <w:adjustRightInd w:val="0"/>
        <w:snapToGrid w:val="0"/>
        <w:spacing w:line="400" w:lineRule="exact"/>
        <w:ind w:firstLine="420" w:firstLineChars="200"/>
        <w:jc w:val="left"/>
        <w:textAlignment w:val="baseline"/>
        <w:rPr>
          <w:rFonts w:ascii="Arial" w:hAnsi="Arial"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工程师同意需在缺陷责任期内继续工作和使用的人员、施工设备和临时工程的内容：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承包人按照通用合同条款第10.5.3款约定撤离施工场地(现场)时，监理单位和承包人应当办理永久工程和施工场地移交手续，移交手续以书面方式出具，并分别经过发包人、监理单位和承包人的签认。承包人自建的临时工程，包括项目部、生活区宿舍及临时道路、堆场等，要求在收到移交手续后30日历天内完成拆除清理。 </w:t>
      </w:r>
    </w:p>
    <w:p w14:paraId="0A94E670">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pPr>
      <w:bookmarkStart w:id="129" w:name="_Toc54862342"/>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第11条 缺陷责任与保修</w:t>
      </w:r>
      <w:bookmarkEnd w:id="129"/>
    </w:p>
    <w:p w14:paraId="1973472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val="0"/>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val="0"/>
          <w:snapToGrid w:val="0"/>
          <w:color w:val="000000" w:themeColor="text1"/>
          <w:kern w:val="0"/>
          <w:szCs w:val="21"/>
          <w:highlight w:val="none"/>
          <w:lang w:eastAsia="en-US"/>
          <w14:textFill>
            <w14:solidFill>
              <w14:schemeClr w14:val="tx1"/>
            </w14:solidFill>
          </w14:textFill>
        </w:rPr>
        <w:t>11.2 缺陷责任期</w:t>
      </w:r>
    </w:p>
    <w:p w14:paraId="4E5A20E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缺陷责任期的期限：</w:t>
      </w:r>
      <w:r>
        <w:rPr>
          <w:rFonts w:ascii="宋体" w:hAnsi="宋体" w:eastAsia="Arial" w:cs="宋体"/>
          <w:snapToGrid w:val="0"/>
          <w:color w:val="000000" w:themeColor="text1"/>
          <w:kern w:val="1"/>
          <w:szCs w:val="21"/>
          <w:highlight w:val="none"/>
          <w:u w:val="single"/>
          <w:lang w:eastAsia="en-US"/>
          <w14:textFill>
            <w14:solidFill>
              <w14:schemeClr w14:val="tx1"/>
            </w14:solidFill>
          </w14:textFill>
        </w:rPr>
        <w:t xml:space="preserve"> 24 </w:t>
      </w:r>
      <w:r>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t>个</w:t>
      </w: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月</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B6FEDCE">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11.3 缺陷调查</w:t>
      </w:r>
    </w:p>
    <w:p w14:paraId="51F1AE7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11.3.4 修复通知</w:t>
      </w:r>
    </w:p>
    <w:p w14:paraId="0A35EFD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承包人收到保修通知并到达工程现场的合理时间：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317D64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11.6 缺陷责任期终止证书</w:t>
      </w:r>
    </w:p>
    <w:p w14:paraId="40A3293C">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承包人应于缺陷责任期届满后</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  </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内向发包人发出缺陷责任期届满通知，发包人应在收到缺陷责任期满通知后</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  </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内核实承包人是否履行缺陷修复义务，承包人未能履行缺陷修复义务的，发包人有权扣除相应金额的维修费用。发包人应在收到缺陷责任期届满通知后</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  </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内，向承包人颁发缺陷责任期终止证书。</w:t>
      </w:r>
    </w:p>
    <w:p w14:paraId="391E865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11.7 保修责任</w:t>
      </w:r>
    </w:p>
    <w:p w14:paraId="38DE31A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bookmarkStart w:id="130" w:name="_Toc54862343"/>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工程质量保修范围、期限和责任为：</w:t>
      </w:r>
    </w:p>
    <w:p w14:paraId="747150A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(1)工程质量保修范围：</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包括所有施工内容。</w:t>
      </w:r>
    </w:p>
    <w:p w14:paraId="6AF105E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(2)工程质量保修期限：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详见工程质量保修书 。</w:t>
      </w:r>
    </w:p>
    <w:p w14:paraId="281AD678">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 (3)工程质量保修责任：</w:t>
      </w:r>
    </w:p>
    <w:p w14:paraId="4398665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1）属于保修范围、内容的项目，承包人应当在接到保修通知之日起7</w:t>
      </w:r>
      <w:r>
        <w:rPr>
          <w:rFonts w:hint="eastAsia" w:ascii="宋体" w:hAnsi="宋体" w:eastAsia="宋体" w:cs="宋体"/>
          <w:snapToGrid w:val="0"/>
          <w:color w:val="000000" w:themeColor="text1"/>
          <w:kern w:val="0"/>
          <w:szCs w:val="21"/>
          <w:highlight w:val="none"/>
          <w:u w:val="singl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内派人保修。承包人不在约定期限内派人保修的，发包人可以委托他人修理，相关费用由承包人承担。</w:t>
      </w:r>
    </w:p>
    <w:p w14:paraId="793AE45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2）发生紧急抢修事故的，承包人在接到事故通知后，应当立即到达事故现场抢修。</w:t>
      </w:r>
    </w:p>
    <w:p w14:paraId="530D6F8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3）对于涉及结构安全的质量问题，应当按照相关规定，立即向当地建设行政主管部门报告，采取安全防范措施；由原设计单位或者具有相应资质等级的设计单位提出保修方案，承包人实施保修。</w:t>
      </w:r>
    </w:p>
    <w:p w14:paraId="57FE808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4）质量保修完成后，由发包人组织验收。</w:t>
      </w:r>
    </w:p>
    <w:p w14:paraId="22A5CCE5">
      <w:pPr>
        <w:keepNext w:val="0"/>
        <w:keepLines w:val="0"/>
        <w:pageBreakBefore w:val="0"/>
        <w:widowControl/>
        <w:kinsoku/>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5）发包人移交使用单位后，缺陷责任期满后的续保修事宜由移交后使用单位履行发包方权利与义务，承包人应履行保修责任和义务。</w:t>
      </w:r>
    </w:p>
    <w:p w14:paraId="242D9952">
      <w:pPr>
        <w:keepNext w:val="0"/>
        <w:keepLines w:val="0"/>
        <w:pageBreakBefore w:val="0"/>
        <w:widowControl/>
        <w:kinsoku/>
        <w:wordWrap/>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质量保修书是竣工验收申请报告的组成内容。承包人应当按照有关法律法规规定和合同所附的格式出具质量保修书，质量保修书的主要内容应当与本款上述约定内容一致。承包人在递交合同条款约定的竣工验收报告的同时，将质量保修书一并报送监理单位。</w:t>
      </w:r>
    </w:p>
    <w:p w14:paraId="7E9BB664">
      <w:pPr>
        <w:keepNext w:val="0"/>
        <w:keepLines w:val="0"/>
        <w:pageBreakBefore w:val="0"/>
        <w:widowControl/>
        <w:kinsoku w:val="0"/>
        <w:overflowPunct/>
        <w:autoSpaceDE w:val="0"/>
        <w:autoSpaceDN w:val="0"/>
        <w:bidi w:val="0"/>
        <w:adjustRightInd w:val="0"/>
        <w:snapToGrid w:val="0"/>
        <w:spacing w:before="0" w:afterLines="0" w:line="400" w:lineRule="exact"/>
        <w:jc w:val="left"/>
        <w:textAlignment w:val="baseline"/>
        <w:outlineLvl w:val="1"/>
        <w:rPr>
          <w:rFonts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b/>
          <w:bCs w:val="0"/>
          <w:snapToGrid w:val="0"/>
          <w:color w:val="000000" w:themeColor="text1"/>
          <w:kern w:val="0"/>
          <w:sz w:val="21"/>
          <w:szCs w:val="21"/>
          <w:highlight w:val="none"/>
          <w:lang w:val="en-US" w:eastAsia="en-US" w:bidi="ar-SA"/>
          <w14:textFill>
            <w14:solidFill>
              <w14:schemeClr w14:val="tx1"/>
            </w14:solidFill>
          </w14:textFill>
        </w:rPr>
        <w:t>第12条 竣工后试验</w:t>
      </w:r>
      <w:bookmarkEnd w:id="130"/>
    </w:p>
    <w:p w14:paraId="6D6F400F">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本合同工程是否包含竣工后试验：</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200A430">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12.1 竣工后试验的程序</w:t>
      </w:r>
    </w:p>
    <w:p w14:paraId="013CD7EC">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461A597">
      <w:pPr>
        <w:keepNext w:val="0"/>
        <w:keepLines w:val="0"/>
        <w:pageBreakBefore w:val="0"/>
        <w:widowControl/>
        <w:kinsoku w:val="0"/>
        <w:overflowPunct/>
        <w:topLinePunct/>
        <w:autoSpaceDE w:val="0"/>
        <w:autoSpaceDN w:val="0"/>
        <w:bidi w:val="0"/>
        <w:adjustRightInd w:val="0"/>
        <w:snapToGrid w:val="0"/>
        <w:spacing w:line="400" w:lineRule="exact"/>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第13条 变更与调整</w:t>
      </w:r>
    </w:p>
    <w:p w14:paraId="2C82DD5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13.2 承包人的合理化建议</w:t>
      </w:r>
    </w:p>
    <w:p w14:paraId="3301313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13.2.2 工程师应在收到承包人提交的合理化建议后</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日内审查完毕并报送发包人，发现其中存在技术上的缺陷，应通知承包人修改。发包人应在收到监理人报送的合理化建议后</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7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日内审批完毕。合理化建议经发包人批准的，监理人应及时发出变更指示，由此引起的合同价格调整按照13.3执行。发包人不同意变更的，监理人应书面通知承包人。</w:t>
      </w:r>
    </w:p>
    <w:p w14:paraId="1F32054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13.2.3 承包人提出的合理化变更建议的利益分享约定：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承包人提出调整《发包人要求》所列内容的合理化建议，需经发包人批准后实施，由此引起的合同价格调整按变更条款有关规定执行。合理化建议降低了合同价格的，对节约部分价款，双方可在专用合同条款中约定按照50%的比例由承包人分享，若是降低标准档次的合理化建议，节约的价款双方另行协商确定分成比例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9B405CE">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13.3 变更程序</w:t>
      </w:r>
    </w:p>
    <w:p w14:paraId="4A044143">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13.3.3 变更估价</w:t>
      </w:r>
    </w:p>
    <w:p w14:paraId="36AA41F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13.3.3.1 变更估价原则</w:t>
      </w:r>
    </w:p>
    <w:p w14:paraId="68EB8519">
      <w:pPr>
        <w:pStyle w:val="46"/>
        <w:keepNext w:val="0"/>
        <w:keepLines w:val="0"/>
        <w:pageBreakBefore w:val="0"/>
        <w:widowControl/>
        <w:tabs>
          <w:tab w:val="left" w:pos="105"/>
          <w:tab w:val="left" w:pos="1260"/>
          <w:tab w:val="left" w:pos="2012"/>
        </w:tabs>
        <w:kinsoku w:val="0"/>
        <w:wordWrap w:val="0"/>
        <w:overflowPunct/>
        <w:autoSpaceDE w:val="0"/>
        <w:autoSpaceDN w:val="0"/>
        <w:bidi w:val="0"/>
        <w:adjustRightInd w:val="0"/>
        <w:snapToGrid w:val="0"/>
        <w:spacing w:line="400" w:lineRule="exact"/>
        <w:ind w:left="0" w:firstLine="422" w:firstLineChars="200"/>
        <w:jc w:val="left"/>
        <w:textAlignment w:val="baseline"/>
        <w:rPr>
          <w:rFonts w:hint="eastAsia" w:ascii="宋体" w:hAnsi="宋体" w:cs="宋体"/>
          <w:b/>
          <w:bCs/>
          <w:snapToGrid w:val="0"/>
          <w:color w:val="000000" w:themeColor="text1"/>
          <w:kern w:val="0"/>
          <w:szCs w:val="21"/>
          <w:highlight w:val="none"/>
          <w:lang w:val="zh-CN" w:bidi="zh-CN"/>
          <w14:textFill>
            <w14:solidFill>
              <w14:schemeClr w14:val="tx1"/>
            </w14:solidFill>
          </w14:textFill>
        </w:rPr>
      </w:pPr>
      <w:r>
        <w:rPr>
          <w:rFonts w:hint="eastAsia" w:ascii="宋体" w:hAnsi="宋体" w:cs="宋体"/>
          <w:b/>
          <w:bCs/>
          <w:snapToGrid w:val="0"/>
          <w:color w:val="000000" w:themeColor="text1"/>
          <w:kern w:val="0"/>
          <w:szCs w:val="21"/>
          <w:highlight w:val="none"/>
          <w:lang w:val="zh-CN" w:bidi="zh-CN"/>
          <w14:textFill>
            <w14:solidFill>
              <w14:schemeClr w14:val="tx1"/>
            </w14:solidFill>
          </w14:textFill>
        </w:rPr>
        <w:t>关于变更估价原则的约定：</w:t>
      </w:r>
    </w:p>
    <w:p w14:paraId="2DFD1E36">
      <w:pPr>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变更范围：发包人、承包人应严格按初步设计批复进行施工图设计，施工图须满足工程实际需要，不得擅自对项目建设规模、建设标准、功能要求、项目工期等进行调整。工程总承包合同确立后所发生的下列调整，应按《关于印发开化县政府投资项目工程变更和概算调整管理办法的通知》规定办理变更手续：</w:t>
      </w:r>
    </w:p>
    <w:p w14:paraId="1E29EFC8">
      <w:pPr>
        <w:keepNext w:val="0"/>
        <w:keepLines w:val="0"/>
        <w:pageBreakBefore w:val="0"/>
        <w:widowControl/>
        <w:tabs>
          <w:tab w:val="left" w:pos="105"/>
          <w:tab w:val="left" w:pos="1260"/>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①因国家法律法规政策变化引起的合同价格调整；</w:t>
      </w:r>
    </w:p>
    <w:p w14:paraId="03B25615">
      <w:pPr>
        <w:keepNext w:val="0"/>
        <w:keepLines w:val="0"/>
        <w:pageBreakBefore w:val="0"/>
        <w:widowControl/>
        <w:tabs>
          <w:tab w:val="left" w:pos="105"/>
          <w:tab w:val="left" w:pos="1260"/>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②发包人改变合同约定建设规模、建设标准、功能要求、质量标准、建设工期或发包人提出增加合同外工程、服务等引起的合同价格调整（以发包人通过监理工程师发出的变更联系单为标志）；</w:t>
      </w:r>
    </w:p>
    <w:p w14:paraId="02271B72">
      <w:pPr>
        <w:keepNext w:val="0"/>
        <w:keepLines w:val="0"/>
        <w:pageBreakBefore w:val="0"/>
        <w:widowControl/>
        <w:tabs>
          <w:tab w:val="left" w:pos="105"/>
          <w:tab w:val="left" w:pos="1260"/>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③不可预见的地质条件发生重大变化造成的设计方案、施工工艺、施工组织等引起的合同价格调整；</w:t>
      </w:r>
    </w:p>
    <w:p w14:paraId="6BBD66BD">
      <w:pPr>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④其他不可抗力所造成的合同价格调整。</w:t>
      </w:r>
    </w:p>
    <w:p w14:paraId="0D566DA0">
      <w:pPr>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注：除以上条款外均不属于本合同变更范围。承包人对自身的设计、采购、施工、竣工试验、竣工后试验存在的缺陷，应自费修正、调整和完善，不属于变更。因此引起的费用增加，承包人自行承担。</w:t>
      </w:r>
    </w:p>
    <w:p w14:paraId="7B0F4DDE">
      <w:pPr>
        <w:pageBreakBefore w:val="0"/>
        <w:tabs>
          <w:tab w:val="left" w:pos="105"/>
          <w:tab w:val="left" w:pos="1260"/>
        </w:tabs>
        <w:kinsoku w:val="0"/>
        <w:wordWrap w:val="0"/>
        <w:overflowPunct/>
        <w:autoSpaceDE w:val="0"/>
        <w:autoSpaceDN w:val="0"/>
        <w:bidi w:val="0"/>
        <w:adjustRightInd w:val="0"/>
        <w:snapToGrid w:val="0"/>
        <w:spacing w:line="400" w:lineRule="exact"/>
        <w:ind w:firstLine="422" w:firstLineChars="200"/>
        <w:jc w:val="left"/>
        <w:textAlignment w:val="baseline"/>
        <w:rPr>
          <w:rFonts w:hint="eastAsia" w:ascii="宋体" w:hAnsi="宋体" w:eastAsia="宋体" w:cs="宋体"/>
          <w:b/>
          <w:bCs/>
          <w:snapToGrid w:val="0"/>
          <w:color w:val="000000" w:themeColor="text1"/>
          <w:kern w:val="0"/>
          <w:sz w:val="21"/>
          <w:szCs w:val="21"/>
          <w:highlight w:val="none"/>
          <w:u w:val="none"/>
          <w:lang w:val="en-US" w:eastAsia="en-US" w:bidi="ar-SA"/>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u w:val="none"/>
          <w:lang w:val="en-US" w:eastAsia="en-US" w:bidi="ar-SA"/>
          <w14:textFill>
            <w14:solidFill>
              <w14:schemeClr w14:val="tx1"/>
            </w14:solidFill>
          </w14:textFill>
        </w:rPr>
        <w:t>13.3.4 变更价款确定（仅指非承包人原因引起的变更）</w:t>
      </w:r>
    </w:p>
    <w:p w14:paraId="06B4756D">
      <w:pPr>
        <w:pageBreakBefore w:val="0"/>
        <w:tabs>
          <w:tab w:val="left" w:pos="105"/>
          <w:tab w:val="left" w:pos="1260"/>
        </w:tabs>
        <w:kinsoku w:val="0"/>
        <w:wordWrap w:val="0"/>
        <w:overflowPunct/>
        <w:autoSpaceDE w:val="0"/>
        <w:autoSpaceDN w:val="0"/>
        <w:bidi w:val="0"/>
        <w:adjustRightInd w:val="0"/>
        <w:snapToGrid w:val="0"/>
        <w:spacing w:line="400" w:lineRule="exact"/>
        <w:ind w:firstLine="422"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u w:val="single"/>
          <w:lang w:val="en-US" w:eastAsia="en-US" w:bidi="ar-SA"/>
          <w14:textFill>
            <w14:solidFill>
              <w14:schemeClr w14:val="tx1"/>
            </w14:solidFill>
          </w14:textFill>
        </w:rPr>
        <w:t>本工程为EP</w:t>
      </w: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C总承包工程，承包人已充分了解本项目初步设计文件、技术规范文件、初步设计图、招标文件等资料中对本工程项目的要求和标准，并完全响应。承包人应严格按初步设计批复文件等资料明确的项目功能要求、建设规模、建设范围、技术标准等要求进行施工图设计并组织项目实施，不得擅自调整项目功能、标准（调高、调低），承包人对于批复的初步设计的任何突破、标准调整、优化设计以及其他重要事项等须事先书面报告发包人，并取得发包人书面同意后方才实施，承包人不得仅以发包人对施工图的确认作为调整依据，否则产生包括返工、重做、更换、标准提升等不利后果以及增加的费用由承包人自行承担；</w:t>
      </w:r>
    </w:p>
    <w:p w14:paraId="696C11FF">
      <w:pPr>
        <w:keepNext w:val="0"/>
        <w:keepLines w:val="0"/>
        <w:pageBreakBefore w:val="0"/>
        <w:widowControl/>
        <w:tabs>
          <w:tab w:val="left" w:pos="105"/>
          <w:tab w:val="left" w:pos="1260"/>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①</w:t>
      </w: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承包人需对设计施工图的完整性、准确性、合理性、经济性负责，不得以发包人对施工图的确认免除责任，任何因承包方原因如设计错误、遗漏、考虑不周以及施工原因等产生的变更均不增加总造价、总工期；未按招标范围、确认的施工图进行施工的减少部分在结算时应予以扣除。</w:t>
      </w:r>
    </w:p>
    <w:p w14:paraId="10EC30B0">
      <w:pPr>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②</w:t>
      </w: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承包人出具的施工图必须满足工程实际使用要求。承包人可在招标人提供的初步设计文件等资料及初审自行优化，优化内容须经招标人同意后方可实施。对招标时发包人提供的初步设计文件等资料，涉及按约定可由承包人自行优化调整或根据国家法律、法规、规范等相关文件自行设计的内容，仅供投标人投标时报价的参考资料，不作为合同价格调整的依据。</w:t>
      </w: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 xml:space="preserve"> </w:t>
      </w:r>
    </w:p>
    <w:p w14:paraId="14F4A2EF">
      <w:pPr>
        <w:keepNext w:val="0"/>
        <w:keepLines w:val="0"/>
        <w:pageBreakBefore w:val="0"/>
        <w:tabs>
          <w:tab w:val="left" w:pos="105"/>
          <w:tab w:val="left" w:pos="1260"/>
        </w:tabs>
        <w:kinsoku w:val="0"/>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 xml:space="preserve"> </w:t>
      </w: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③招标文件中所附工程量清单为初步设计概算阶段工程量清单，投标人可在合同执行过程中优化初步设计及相应工程量清单，保证各生产线技术先进、运行安全可靠，并满足各生产线整体考核验收交付要求。除招标方要求的重大设计变更、总承包范围变更外，投标人实行总价包干原则，不得额外增加费用。</w:t>
      </w: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 xml:space="preserve"> </w:t>
      </w:r>
    </w:p>
    <w:p w14:paraId="657D196E">
      <w:pPr>
        <w:pageBreakBefore w:val="0"/>
        <w:tabs>
          <w:tab w:val="left" w:pos="105"/>
          <w:tab w:val="left" w:pos="1260"/>
        </w:tabs>
        <w:kinsoku w:val="0"/>
        <w:wordWrap w:val="0"/>
        <w:overflowPunct/>
        <w:autoSpaceDE w:val="0"/>
        <w:autoSpaceDN w:val="0"/>
        <w:bidi w:val="0"/>
        <w:adjustRightInd w:val="0"/>
        <w:snapToGrid w:val="0"/>
        <w:spacing w:line="400" w:lineRule="exact"/>
        <w:ind w:firstLine="422" w:firstLineChars="200"/>
        <w:jc w:val="left"/>
        <w:textAlignment w:val="baseline"/>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b/>
          <w:bCs/>
          <w:snapToGrid w:val="0"/>
          <w:color w:val="000000" w:themeColor="text1"/>
          <w:kern w:val="0"/>
          <w:sz w:val="21"/>
          <w:szCs w:val="21"/>
          <w:highlight w:val="none"/>
          <w:lang w:val="en-US" w:eastAsia="en-US" w:bidi="ar-SA"/>
          <w14:textFill>
            <w14:solidFill>
              <w14:schemeClr w14:val="tx1"/>
            </w14:solidFill>
          </w14:textFill>
        </w:rPr>
        <w:t>13.3.5变更价款约定方法</w:t>
      </w:r>
      <w:r>
        <w:rPr>
          <w:rFonts w:hint="eastAsia" w:ascii="Arial" w:hAnsi="Arial" w:eastAsia="Arial" w:cs="宋体"/>
          <w:b/>
          <w:bCs/>
          <w:snapToGrid w:val="0"/>
          <w:color w:val="000000" w:themeColor="text1"/>
          <w:kern w:val="0"/>
          <w:sz w:val="21"/>
          <w:szCs w:val="21"/>
          <w:highlight w:val="none"/>
          <w:lang w:val="en-US" w:eastAsia="en-US" w:bidi="ar-SA"/>
          <w14:textFill>
            <w14:solidFill>
              <w14:schemeClr w14:val="tx1"/>
            </w14:solidFill>
          </w14:textFill>
        </w:rPr>
        <w:t>：</w:t>
      </w:r>
    </w:p>
    <w:p w14:paraId="7C9D1FA1">
      <w:pPr>
        <w:keepNext w:val="0"/>
        <w:keepLines w:val="0"/>
        <w:pageBreakBefore w:val="0"/>
        <w:widowControl w:val="0"/>
        <w:tabs>
          <w:tab w:val="left" w:pos="105"/>
          <w:tab w:val="left" w:pos="1260"/>
        </w:tabs>
        <w:kinsoku w:val="0"/>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b/>
          <w:bCs/>
          <w:snapToGrid w:val="0"/>
          <w:color w:val="000000" w:themeColor="text1"/>
          <w:kern w:val="0"/>
          <w:sz w:val="21"/>
          <w:szCs w:val="21"/>
          <w:highlight w:val="none"/>
          <w:u w:val="single"/>
          <w:lang w:val="en-US" w:eastAsia="en-US" w:bidi="ar-SA"/>
          <w14:textFill>
            <w14:solidFill>
              <w14:schemeClr w14:val="tx1"/>
            </w14:solidFill>
          </w14:textFill>
        </w:rPr>
        <w:t>本工程变更所发生的工程量增减时，按以下原则组价结算：</w:t>
      </w:r>
    </w:p>
    <w:p w14:paraId="79C54F2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0" w:firstLineChars="200"/>
        <w:jc w:val="left"/>
        <w:textAlignment w:val="baseline"/>
        <w:rPr>
          <w:rFonts w:hint="eastAsia" w:ascii="宋体" w:hAnsi="宋体" w:eastAsia="Arial" w:cs="宋体"/>
          <w:b/>
          <w:bCs/>
          <w:snapToGrid w:val="0"/>
          <w:color w:val="auto"/>
          <w:kern w:val="0"/>
          <w:sz w:val="21"/>
          <w:szCs w:val="21"/>
          <w:highlight w:val="none"/>
          <w:lang w:val="en-US" w:eastAsia="en-US" w:bidi="ar-SA"/>
        </w:rPr>
      </w:pPr>
      <w:r>
        <w:rPr>
          <w:rFonts w:hint="eastAsia" w:ascii="宋体" w:hAnsi="宋体" w:eastAsia="Arial" w:cs="宋体"/>
          <w:b/>
          <w:bCs/>
          <w:snapToGrid w:val="0"/>
          <w:color w:val="auto"/>
          <w:kern w:val="0"/>
          <w:sz w:val="21"/>
          <w:szCs w:val="21"/>
          <w:highlight w:val="none"/>
          <w:lang w:val="en-US" w:eastAsia="en-US" w:bidi="ar-SA"/>
        </w:rPr>
        <w:t>①</w:t>
      </w:r>
      <w:r>
        <w:rPr>
          <w:rFonts w:hint="eastAsia" w:ascii="宋体" w:hAnsi="宋体" w:eastAsia="Arial" w:cs="宋体"/>
          <w:b/>
          <w:bCs/>
          <w:snapToGrid w:val="0"/>
          <w:color w:val="auto"/>
          <w:kern w:val="0"/>
          <w:sz w:val="21"/>
          <w:szCs w:val="21"/>
          <w:highlight w:val="none"/>
          <w:u w:val="single"/>
          <w:lang w:val="en-US" w:eastAsia="en-US" w:bidi="ar-SA"/>
        </w:rPr>
        <w:t>由发包人引起的变更价款按经发包人委托的第三方造价咨询单位审定的概算*建筑安装工程费结算费率[（建筑安装工程费投标报价-暂列金-暂估价）/（建筑安装工程费</w:t>
      </w:r>
      <w:r>
        <w:rPr>
          <w:rFonts w:hint="eastAsia" w:ascii="宋体" w:hAnsi="宋体" w:eastAsia="Arial" w:cs="宋体"/>
          <w:b/>
          <w:bCs/>
          <w:snapToGrid w:val="0"/>
          <w:color w:val="auto"/>
          <w:kern w:val="0"/>
          <w:sz w:val="21"/>
          <w:szCs w:val="21"/>
          <w:highlight w:val="none"/>
          <w:u w:val="single"/>
          <w:lang w:val="en-US" w:eastAsia="zh-CN" w:bidi="ar-SA"/>
        </w:rPr>
        <w:t>最高投标限价</w:t>
      </w:r>
      <w:r>
        <w:rPr>
          <w:rFonts w:hint="eastAsia" w:ascii="宋体" w:hAnsi="宋体" w:eastAsia="Arial" w:cs="宋体"/>
          <w:b/>
          <w:bCs/>
          <w:snapToGrid w:val="0"/>
          <w:color w:val="auto"/>
          <w:kern w:val="0"/>
          <w:sz w:val="21"/>
          <w:szCs w:val="21"/>
          <w:highlight w:val="none"/>
          <w:u w:val="single"/>
          <w:lang w:val="en-US" w:eastAsia="en-US" w:bidi="ar-SA"/>
        </w:rPr>
        <w:t>-暂列金-暂估价）]作为结算的依据。</w:t>
      </w:r>
    </w:p>
    <w:p w14:paraId="6E663A27">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②</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合同中包含审定概算价的工程量清单，变更工程项目综合单价（审定概算价的工程量清单综合单价异常的除外）按以下规则调整：</w:t>
      </w:r>
    </w:p>
    <w:p w14:paraId="6327C6D1">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1）审定概算价的工程量清单中有适用于变更工程项目的综合单价，按照相同项目综合单价认定。</w:t>
      </w:r>
    </w:p>
    <w:p w14:paraId="2243B2A9">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2）审定概算价的工程量清单中没有适用但有类似于变更工程项目的综合单价，参照该类似项目的综合单价计算确定：</w:t>
      </w:r>
    </w:p>
    <w:p w14:paraId="21C3C259">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a某种材料（或半成品及成品）等级、标准变化的，清单组合子目不变，仅调整不同材料价格；</w:t>
      </w:r>
    </w:p>
    <w:p w14:paraId="6EF5FB7D">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b清单项目某一特征或工程内容发生变化，不影响其他特征及工程内容的，其他特征组合标准不变，仅调整发生变化的组合子目价格；</w:t>
      </w:r>
    </w:p>
    <w:p w14:paraId="371885C5">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3）工程量清单中没有适用也没有类似于变更工程项目的综合单价，由承包人根据合同中约定的组价原则或参考</w:t>
      </w:r>
      <w:r>
        <w:rPr>
          <w:rFonts w:hint="eastAsia" w:ascii="宋体" w:hAnsi="宋体" w:eastAsia="宋体" w:cs="宋体"/>
          <w:b/>
          <w:bCs/>
          <w:snapToGrid w:val="0"/>
          <w:color w:val="000000" w:themeColor="text1"/>
          <w:kern w:val="0"/>
          <w:szCs w:val="21"/>
          <w:highlight w:val="none"/>
          <w:u w:val="single"/>
          <w:lang w:eastAsia="zh-CN"/>
          <w14:textFill>
            <w14:solidFill>
              <w14:schemeClr w14:val="tx1"/>
            </w14:solidFill>
          </w14:textFill>
        </w:rPr>
        <w:t>“</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计价依据</w:t>
      </w:r>
      <w:r>
        <w:rPr>
          <w:rFonts w:hint="eastAsia" w:ascii="宋体" w:hAnsi="宋体" w:eastAsia="宋体" w:cs="宋体"/>
          <w:b/>
          <w:bCs/>
          <w:snapToGrid w:val="0"/>
          <w:color w:val="000000" w:themeColor="text1"/>
          <w:kern w:val="0"/>
          <w:szCs w:val="21"/>
          <w:highlight w:val="none"/>
          <w:u w:val="single"/>
          <w:lang w:eastAsia="zh-CN"/>
          <w14:textFill>
            <w14:solidFill>
              <w14:schemeClr w14:val="tx1"/>
            </w14:solidFill>
          </w14:textFill>
        </w:rPr>
        <w:t>”</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重新组价，提出适当的综合单价，经发包人（或发包人委托的第三方咨询机构）审定后执行；</w:t>
      </w:r>
    </w:p>
    <w:p w14:paraId="01DD451A">
      <w:pPr>
        <w:keepNext w:val="0"/>
        <w:keepLines w:val="0"/>
        <w:pageBreakBefore w:val="0"/>
        <w:widowControl/>
        <w:kinsoku/>
        <w:wordWrap/>
        <w:overflowPunct/>
        <w:topLinePunct w:val="0"/>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③</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组价原则：</w:t>
      </w:r>
      <w:r>
        <w:rPr>
          <w:rFonts w:hint="eastAsia" w:ascii="宋体" w:hAnsi="宋体" w:eastAsia="Arial" w:cs="宋体"/>
          <w:b/>
          <w:bCs/>
          <w:snapToGrid w:val="0"/>
          <w:color w:val="000000" w:themeColor="text1"/>
          <w:kern w:val="0"/>
          <w:szCs w:val="21"/>
          <w:highlight w:val="none"/>
          <w:u w:val="single"/>
          <w:lang w:val="en-US" w:eastAsia="en-US"/>
          <w14:textFill>
            <w14:solidFill>
              <w14:schemeClr w14:val="tx1"/>
            </w14:solidFill>
          </w14:textFill>
        </w:rPr>
        <w:t>建设工程工程量清单计价规范</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b/>
          <w:bCs/>
          <w:snapToGrid w:val="0"/>
          <w:color w:val="000000" w:themeColor="text1"/>
          <w:kern w:val="0"/>
          <w:szCs w:val="21"/>
          <w:highlight w:val="none"/>
          <w:u w:val="single"/>
          <w:lang w:val="en-US" w:eastAsia="en-US"/>
          <w14:textFill>
            <w14:solidFill>
              <w14:schemeClr w14:val="tx1"/>
            </w14:solidFill>
          </w14:textFill>
        </w:rPr>
        <w:t>GB50500-2013</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b/>
          <w:bCs/>
          <w:snapToGrid w:val="0"/>
          <w:color w:val="000000" w:themeColor="text1"/>
          <w:kern w:val="0"/>
          <w:szCs w:val="21"/>
          <w:highlight w:val="none"/>
          <w:u w:val="single"/>
          <w:lang w:val="en-US" w:eastAsia="en-US"/>
          <w14:textFill>
            <w14:solidFill>
              <w14:schemeClr w14:val="tx1"/>
            </w14:solidFill>
          </w14:textFill>
        </w:rPr>
        <w:t>工程量清单计价办法及浙江省有关补充规定、《市政工程工程量清单计算规范》GB50857-2013、《通用安装工程工程量清单计算规范》GB50856-2013</w:t>
      </w:r>
      <w:r>
        <w:rPr>
          <w:rFonts w:hint="eastAsia" w:ascii="宋体" w:hAnsi="宋体" w:eastAsia="宋体" w:cs="宋体"/>
          <w:b/>
          <w:bCs/>
          <w:snapToGrid w:val="0"/>
          <w:color w:val="000000" w:themeColor="text1"/>
          <w:kern w:val="0"/>
          <w:szCs w:val="21"/>
          <w:highlight w:val="none"/>
          <w:u w:val="single"/>
          <w:lang w:val="en-US" w:eastAsia="zh-CN"/>
          <w14:textFill>
            <w14:solidFill>
              <w14:schemeClr w14:val="tx1"/>
            </w14:solidFill>
          </w14:textFill>
        </w:rPr>
        <w:t>、《浙江省通用安装工程预算定额》（2018版）、《浙江省市政工程预算定额》（2018版）、《浙江省建设工程计价规则》（2018版）、《浙江省建设工程施工机械台班费用定额》（2018版）、《关于建筑业实施营改增后浙江省建设工程计价规则调整的通知》（建建发〔2016〕144号）、《关于营改增后浙江省建设工程材料价格信息发布工作调整的通知》（浙建站信[2016]25号）、国家或省级、行业建设主管部门颁发的计价规定和办法、与建设工程项目有关的标准、规范、技术资料</w:t>
      </w:r>
      <w:r>
        <w:rPr>
          <w:rFonts w:hint="eastAsia" w:ascii="宋体" w:hAnsi="宋体" w:eastAsia="Arial" w:cs="Arial"/>
          <w:b/>
          <w:bCs/>
          <w:snapToGrid w:val="0"/>
          <w:color w:val="000000" w:themeColor="text1"/>
          <w:kern w:val="0"/>
          <w:szCs w:val="21"/>
          <w:highlight w:val="none"/>
          <w:u w:val="single"/>
          <w:lang w:eastAsia="en-US"/>
          <w14:textFill>
            <w14:solidFill>
              <w14:schemeClr w14:val="tx1"/>
            </w14:solidFill>
          </w14:textFill>
        </w:rPr>
        <w:t>。</w:t>
      </w:r>
    </w:p>
    <w:p w14:paraId="6CE9950F">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④以上组价后价格按最终结算费率同比下浮（无价材料等明确不下浮的除外）。</w:t>
      </w:r>
    </w:p>
    <w:p w14:paraId="44FDA956">
      <w:pPr>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⑤合同约定的施工期内颁发新的法律、法规、部门规章和政策性文件的，按新的法律、法规、部门规章和政策性文件之规定执行。</w:t>
      </w:r>
    </w:p>
    <w:p w14:paraId="4FF113A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⑥变更指示只能由监理人发出。变更指示应说明变更的目的、范围、变更内容以及变更的工程量及其进度和技术要求，并附有关图纸和文件。承包人收到变更指示后，应按变更指示进行变更工作。</w:t>
      </w:r>
    </w:p>
    <w:p w14:paraId="50A945C8">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13.4 暂估价</w:t>
      </w:r>
    </w:p>
    <w:p w14:paraId="3EFD099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13.4.1 依法必须招标的暂估价项目</w:t>
      </w:r>
    </w:p>
    <w:p w14:paraId="6458FAE4">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承包人可以参与投标的暂估价项目范围：</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u w:val="single"/>
          <w:lang w:eastAsia="en-US"/>
          <w14:textFill>
            <w14:solidFill>
              <w14:schemeClr w14:val="tx1"/>
            </w14:solidFill>
          </w14:textFill>
        </w:rPr>
        <w:t>/</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w:t>
      </w:r>
    </w:p>
    <w:p w14:paraId="07F3DF9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宋体"/>
          <w:b/>
          <w:bCs/>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承包人不得参与投标的暂估价项目范围：</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b/>
          <w:bCs/>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w:t>
      </w:r>
    </w:p>
    <w:p w14:paraId="5563390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招投标程序及其他约定：</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u w:val="single"/>
          <w:lang w:eastAsia="en-US"/>
          <w14:textFill>
            <w14:solidFill>
              <w14:schemeClr w14:val="tx1"/>
            </w14:solidFill>
          </w14:textFill>
        </w:rPr>
        <w:t>按国家相关法律、法规规定执行</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w:t>
      </w:r>
    </w:p>
    <w:p w14:paraId="7E01830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宋体" w:hAnsi="宋体"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13</w:t>
      </w:r>
      <w:r>
        <w:rPr>
          <w:rFonts w:ascii="宋体" w:hAnsi="宋体" w:eastAsia="Arial" w:cs="Arial"/>
          <w:snapToGrid w:val="0"/>
          <w:color w:val="000000" w:themeColor="text1"/>
          <w:kern w:val="0"/>
          <w:szCs w:val="21"/>
          <w:highlight w:val="none"/>
          <w:lang w:eastAsia="en-US"/>
          <w14:textFill>
            <w14:solidFill>
              <w14:schemeClr w14:val="tx1"/>
            </w14:solidFill>
          </w14:textFill>
        </w:rPr>
        <w:t>.</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4</w:t>
      </w:r>
      <w:r>
        <w:rPr>
          <w:rFonts w:ascii="宋体" w:hAnsi="宋体" w:eastAsia="Arial" w:cs="Arial"/>
          <w:snapToGrid w:val="0"/>
          <w:color w:val="000000" w:themeColor="text1"/>
          <w:kern w:val="0"/>
          <w:szCs w:val="21"/>
          <w:highlight w:val="none"/>
          <w:lang w:eastAsia="en-US"/>
          <w14:textFill>
            <w14:solidFill>
              <w14:schemeClr w14:val="tx1"/>
            </w14:solidFill>
          </w14:textFill>
        </w:rPr>
        <w:t xml:space="preserve">.2 </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不属于依法必须招标的暂估价项目</w:t>
      </w:r>
    </w:p>
    <w:p w14:paraId="3D520F4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ascii="Arial" w:hAnsi="Arial" w:eastAsia="Arial" w:cs="Arial"/>
          <w:snapToGrid w:val="0"/>
          <w:color w:val="000000" w:themeColor="text1"/>
          <w:kern w:val="0"/>
          <w:szCs w:val="21"/>
          <w:highlight w:val="none"/>
          <w:lang w:eastAsia="en-US"/>
          <w14:textFill>
            <w14:solidFill>
              <w14:schemeClr w14:val="tx1"/>
            </w14:solidFill>
          </w14:textFill>
        </w:rPr>
      </w:pP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不属于依法必须招标的暂估价项目的协商及估价的约定：</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u w:val="single"/>
          <w:lang w:eastAsia="en-US"/>
          <w14:textFill>
            <w14:solidFill>
              <w14:schemeClr w14:val="tx1"/>
            </w14:solidFill>
          </w14:textFill>
        </w:rPr>
        <w:t>/</w:t>
      </w:r>
      <w:r>
        <w:rPr>
          <w:rFonts w:ascii="宋体" w:hAnsi="宋体" w:eastAsia="Arial" w:cs="Arial"/>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Arial"/>
          <w:snapToGrid w:val="0"/>
          <w:color w:val="000000" w:themeColor="text1"/>
          <w:kern w:val="0"/>
          <w:szCs w:val="21"/>
          <w:highlight w:val="none"/>
          <w:lang w:eastAsia="en-US"/>
          <w14:textFill>
            <w14:solidFill>
              <w14:schemeClr w14:val="tx1"/>
            </w14:solidFill>
          </w14:textFill>
        </w:rPr>
        <w:t>。</w:t>
      </w:r>
    </w:p>
    <w:p w14:paraId="0691436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宋体" w:cs="宋体"/>
          <w:snapToGrid w:val="0"/>
          <w:color w:val="000000" w:themeColor="text1"/>
          <w:kern w:val="0"/>
          <w:szCs w:val="21"/>
          <w:highlight w:val="none"/>
          <w:lang w:eastAsia="zh-CN"/>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 xml:space="preserve">13.5 </w:t>
      </w:r>
      <w:r>
        <w:rPr>
          <w:rFonts w:hint="eastAsia" w:ascii="宋体" w:hAnsi="宋体" w:eastAsia="宋体" w:cs="宋体"/>
          <w:b/>
          <w:bCs/>
          <w:snapToGrid w:val="0"/>
          <w:color w:val="000000" w:themeColor="text1"/>
          <w:kern w:val="0"/>
          <w:szCs w:val="21"/>
          <w:highlight w:val="none"/>
          <w:lang w:eastAsia="zh-CN"/>
          <w14:textFill>
            <w14:solidFill>
              <w14:schemeClr w14:val="tx1"/>
            </w14:solidFill>
          </w14:textFill>
        </w:rPr>
        <w:t>暂列金额</w:t>
      </w:r>
    </w:p>
    <w:p w14:paraId="0C3E12A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ascii="宋体" w:hAnsi="宋体" w:eastAsia="Arial" w:cs="宋体"/>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其他关于</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暂列金额</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使用的约定：合同当事人关于</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暂列金额</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使用的约定：</w:t>
      </w:r>
      <w:r>
        <w:rPr>
          <w:rFonts w:hint="eastAsia" w:ascii="宋体" w:hAnsi="宋体" w:eastAsia="宋体" w:cs="宋体"/>
          <w:b/>
          <w:snapToGrid w:val="0"/>
          <w:color w:val="000000" w:themeColor="text1"/>
          <w:kern w:val="0"/>
          <w:szCs w:val="21"/>
          <w:highlight w:val="none"/>
          <w:u w:val="single"/>
          <w:lang w:eastAsia="zh-CN"/>
          <w14:textFill>
            <w14:solidFill>
              <w14:schemeClr w14:val="tx1"/>
            </w14:solidFill>
          </w14:textFill>
        </w:rPr>
        <w:t>暂列金额</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用于施工合同尚未确定或者不可预见的所需材料、设备、服务的采购，施工过程中可能发生的工程变更、合同约定调整因素出现时的工程价款调整发生的索赔、现场签证确认等的费用，属发包人所有，今后施工过程中如未发生前述因素，此项费用就不存在，不予计算，发包人不予支付</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50A9C04">
      <w:pPr>
        <w:spacing w:line="400" w:lineRule="exact"/>
        <w:ind w:firstLine="420" w:firstLineChars="200"/>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rPr>
        <w:t>13.8 市场价格波动引起的调整</w:t>
      </w:r>
    </w:p>
    <w:p w14:paraId="6612BF97">
      <w:pPr>
        <w:spacing w:line="400" w:lineRule="exact"/>
        <w:ind w:firstLine="420" w:firstLineChars="200"/>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rPr>
        <w:t>13.8.2 关于是否采用《价格指数权重表》的约定：</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u w:val="single"/>
          <w:lang w:val="en-US" w:eastAsia="zh-CN"/>
        </w:rPr>
        <w:t>否</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rPr>
        <w:t xml:space="preserve"> 。</w:t>
      </w:r>
    </w:p>
    <w:p w14:paraId="291AE46A">
      <w:pPr>
        <w:spacing w:before="103" w:line="332" w:lineRule="auto"/>
        <w:ind w:left="442" w:right="710" w:hanging="10"/>
        <w:rPr>
          <w:rFonts w:hint="eastAsia" w:ascii="宋体" w:hAnsi="宋体" w:eastAsia="宋体" w:cs="宋体"/>
          <w:color w:val="auto"/>
          <w:sz w:val="21"/>
          <w:szCs w:val="21"/>
        </w:rPr>
      </w:pPr>
      <w:r>
        <w:rPr>
          <w:rFonts w:hint="eastAsia" w:ascii="宋体" w:hAnsi="宋体" w:eastAsia="宋体" w:cs="宋体"/>
          <w:color w:val="auto"/>
          <w:spacing w:val="1"/>
          <w:sz w:val="21"/>
          <w:szCs w:val="21"/>
        </w:rPr>
        <w:t>市场价格波动是否调整合同价格的约定：</w:t>
      </w:r>
      <w:r>
        <w:rPr>
          <w:rFonts w:hint="eastAsia" w:ascii="宋体" w:hAnsi="宋体" w:eastAsia="宋体" w:cs="宋体"/>
          <w:color w:val="auto"/>
          <w:spacing w:val="1"/>
          <w:sz w:val="21"/>
          <w:szCs w:val="21"/>
          <w:u w:val="single"/>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68336956">
      <w:pPr>
        <w:spacing w:before="103" w:line="332" w:lineRule="auto"/>
        <w:ind w:left="442" w:right="710" w:hanging="10"/>
        <w:rPr>
          <w:rFonts w:hint="eastAsia" w:ascii="宋体" w:hAnsi="宋体" w:eastAsia="宋体" w:cs="宋体"/>
          <w:color w:val="auto"/>
          <w:sz w:val="21"/>
          <w:szCs w:val="21"/>
        </w:rPr>
      </w:pPr>
      <w:r>
        <w:rPr>
          <w:rFonts w:hint="eastAsia" w:ascii="宋体" w:hAnsi="宋体" w:eastAsia="宋体" w:cs="宋体"/>
          <w:color w:val="auto"/>
          <w:spacing w:val="8"/>
          <w:sz w:val="21"/>
          <w:szCs w:val="21"/>
        </w:rPr>
        <w:t>因</w:t>
      </w:r>
      <w:r>
        <w:rPr>
          <w:rFonts w:hint="eastAsia" w:ascii="宋体" w:hAnsi="宋体" w:eastAsia="宋体" w:cs="宋体"/>
          <w:color w:val="auto"/>
          <w:spacing w:val="7"/>
          <w:sz w:val="21"/>
          <w:szCs w:val="21"/>
        </w:rPr>
        <w:t>市场价格波动调整合同价格，采用以下第</w:t>
      </w:r>
      <w:r>
        <w:rPr>
          <w:rFonts w:hint="eastAsia" w:ascii="宋体" w:hAnsi="宋体" w:eastAsia="宋体" w:cs="宋体"/>
          <w:color w:val="auto"/>
          <w:spacing w:val="7"/>
          <w:sz w:val="21"/>
          <w:szCs w:val="21"/>
          <w:u w:val="single"/>
        </w:rPr>
        <w:t xml:space="preserve"> 2 </w:t>
      </w:r>
      <w:r>
        <w:rPr>
          <w:rFonts w:hint="eastAsia" w:ascii="宋体" w:hAnsi="宋体" w:eastAsia="宋体" w:cs="宋体"/>
          <w:color w:val="auto"/>
          <w:spacing w:val="7"/>
          <w:sz w:val="21"/>
          <w:szCs w:val="21"/>
        </w:rPr>
        <w:t>种方式对合同价格进行调整：</w:t>
      </w:r>
    </w:p>
    <w:p w14:paraId="32965055">
      <w:pPr>
        <w:spacing w:line="228" w:lineRule="auto"/>
        <w:ind w:left="427"/>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第 </w:t>
      </w:r>
      <w:r>
        <w:rPr>
          <w:rFonts w:hint="eastAsia" w:ascii="宋体" w:hAnsi="宋体" w:eastAsia="宋体" w:cs="宋体"/>
          <w:color w:val="auto"/>
          <w:spacing w:val="3"/>
          <w:sz w:val="21"/>
          <w:szCs w:val="21"/>
        </w:rPr>
        <w:t>1 种方式：采用价格指数进行价格调整。</w:t>
      </w:r>
    </w:p>
    <w:p w14:paraId="12C18BCD">
      <w:pPr>
        <w:spacing w:before="113" w:line="332" w:lineRule="auto"/>
        <w:ind w:left="427" w:right="517" w:firstLine="3"/>
        <w:rPr>
          <w:rFonts w:hint="eastAsia" w:ascii="宋体" w:hAnsi="宋体" w:eastAsia="宋体" w:cs="宋体"/>
          <w:color w:val="auto"/>
          <w:sz w:val="21"/>
          <w:szCs w:val="21"/>
        </w:rPr>
      </w:pPr>
      <w:r>
        <w:rPr>
          <w:rFonts w:hint="eastAsia" w:ascii="宋体" w:hAnsi="宋体" w:eastAsia="宋体" w:cs="宋体"/>
          <w:color w:val="auto"/>
          <w:spacing w:val="3"/>
          <w:sz w:val="21"/>
          <w:szCs w:val="21"/>
        </w:rPr>
        <w:t>关于各可调因子、定值和变值权重，以及基本价格指数及其来源的约定：</w:t>
      </w:r>
      <w:r>
        <w:rPr>
          <w:rFonts w:hint="eastAsia" w:ascii="宋体" w:hAnsi="宋体" w:eastAsia="宋体" w:cs="宋体"/>
          <w:color w:val="auto"/>
          <w:spacing w:val="3"/>
          <w:sz w:val="21"/>
          <w:szCs w:val="21"/>
          <w:u w:val="single"/>
        </w:rPr>
        <w:t xml:space="preserve">        /       </w:t>
      </w:r>
      <w:r>
        <w:rPr>
          <w:rFonts w:hint="eastAsia" w:ascii="宋体" w:hAnsi="宋体" w:eastAsia="宋体" w:cs="宋体"/>
          <w:color w:val="auto"/>
          <w:sz w:val="21"/>
          <w:szCs w:val="21"/>
          <w:u w:val="single"/>
        </w:rPr>
        <w:t xml:space="preserve">  </w:t>
      </w:r>
      <w:r>
        <w:rPr>
          <w:rFonts w:hint="eastAsia" w:ascii="宋体" w:hAnsi="宋体" w:eastAsia="宋体" w:cs="宋体"/>
          <w:color w:val="auto"/>
          <w:spacing w:val="6"/>
          <w:sz w:val="21"/>
          <w:szCs w:val="21"/>
        </w:rPr>
        <w:t xml:space="preserve">第 </w:t>
      </w:r>
      <w:r>
        <w:rPr>
          <w:rFonts w:hint="eastAsia" w:ascii="宋体" w:hAnsi="宋体" w:eastAsia="宋体" w:cs="宋体"/>
          <w:color w:val="auto"/>
          <w:spacing w:val="3"/>
          <w:sz w:val="21"/>
          <w:szCs w:val="21"/>
        </w:rPr>
        <w:t>2 种方式：采用造价信息进行价格调整。</w:t>
      </w:r>
    </w:p>
    <w:p w14:paraId="6CF021AB">
      <w:pPr>
        <w:spacing w:before="1" w:line="332" w:lineRule="auto"/>
        <w:ind w:left="6" w:right="92" w:firstLine="430"/>
        <w:rPr>
          <w:rFonts w:hint="eastAsia" w:ascii="宋体" w:hAnsi="宋体" w:eastAsia="宋体" w:cs="宋体"/>
          <w:color w:val="auto"/>
          <w:sz w:val="21"/>
          <w:szCs w:val="21"/>
        </w:rPr>
      </w:pPr>
      <w:r>
        <w:rPr>
          <w:rFonts w:hint="eastAsia" w:ascii="宋体" w:hAnsi="宋体" w:eastAsia="宋体" w:cs="宋体"/>
          <w:color w:val="auto"/>
          <w:spacing w:val="19"/>
          <w:sz w:val="21"/>
          <w:szCs w:val="21"/>
        </w:rPr>
        <w:t>(</w:t>
      </w:r>
      <w:r>
        <w:rPr>
          <w:rFonts w:hint="eastAsia" w:ascii="宋体" w:hAnsi="宋体" w:eastAsia="宋体" w:cs="宋体"/>
          <w:color w:val="auto"/>
          <w:spacing w:val="10"/>
          <w:sz w:val="21"/>
          <w:szCs w:val="21"/>
        </w:rPr>
        <w:t>2) 关于基准价格的约定：基准价格为基准日当月由建设工程造价主管部门发布的信息价 (投标</w:t>
      </w:r>
      <w:r>
        <w:rPr>
          <w:rFonts w:hint="eastAsia" w:ascii="宋体" w:hAnsi="宋体" w:eastAsia="宋体" w:cs="宋体"/>
          <w:color w:val="auto"/>
          <w:sz w:val="21"/>
          <w:szCs w:val="21"/>
        </w:rPr>
        <w:t xml:space="preserve"> </w:t>
      </w:r>
      <w:r>
        <w:rPr>
          <w:rFonts w:hint="eastAsia" w:ascii="宋体" w:hAnsi="宋体" w:eastAsia="宋体" w:cs="宋体"/>
          <w:color w:val="auto"/>
          <w:spacing w:val="-1"/>
          <w:sz w:val="21"/>
          <w:szCs w:val="21"/>
        </w:rPr>
        <w:t>截止日前 28 天为基</w:t>
      </w:r>
      <w:r>
        <w:rPr>
          <w:rFonts w:hint="eastAsia" w:ascii="宋体" w:hAnsi="宋体" w:eastAsia="宋体" w:cs="宋体"/>
          <w:color w:val="auto"/>
          <w:sz w:val="21"/>
          <w:szCs w:val="21"/>
        </w:rPr>
        <w:t>准日)。</w:t>
      </w:r>
    </w:p>
    <w:p w14:paraId="35F7D1C1">
      <w:pPr>
        <w:spacing w:before="1" w:line="339" w:lineRule="auto"/>
        <w:ind w:left="7" w:right="36" w:firstLine="419"/>
        <w:rPr>
          <w:rFonts w:hint="eastAsia" w:ascii="宋体" w:hAnsi="宋体" w:eastAsia="宋体" w:cs="宋体"/>
          <w:color w:val="auto"/>
          <w:sz w:val="21"/>
          <w:szCs w:val="21"/>
        </w:rPr>
      </w:pPr>
      <w:r>
        <w:rPr>
          <w:rFonts w:hint="eastAsia" w:ascii="宋体" w:hAnsi="宋体" w:eastAsia="宋体" w:cs="宋体"/>
          <w:color w:val="auto"/>
          <w:spacing w:val="19"/>
          <w:sz w:val="21"/>
          <w:szCs w:val="21"/>
        </w:rPr>
        <w:t>①</w:t>
      </w:r>
      <w:r>
        <w:rPr>
          <w:rFonts w:hint="eastAsia" w:ascii="宋体" w:hAnsi="宋体" w:eastAsia="宋体" w:cs="宋体"/>
          <w:color w:val="auto"/>
          <w:spacing w:val="11"/>
          <w:sz w:val="21"/>
          <w:szCs w:val="21"/>
        </w:rPr>
        <w:t>承包人在已标价工程量清单中载明的材料单价低于基准价格的：合同履行期间材料单价涨幅以</w:t>
      </w:r>
      <w:r>
        <w:rPr>
          <w:rFonts w:hint="eastAsia" w:ascii="宋体" w:hAnsi="宋体" w:eastAsia="宋体" w:cs="宋体"/>
          <w:color w:val="auto"/>
          <w:sz w:val="21"/>
          <w:szCs w:val="21"/>
        </w:rPr>
        <w:t xml:space="preserve"> </w:t>
      </w:r>
      <w:r>
        <w:rPr>
          <w:rFonts w:hint="eastAsia" w:ascii="宋体" w:hAnsi="宋体" w:eastAsia="宋体" w:cs="宋体"/>
          <w:color w:val="auto"/>
          <w:spacing w:val="9"/>
          <w:sz w:val="21"/>
          <w:szCs w:val="21"/>
        </w:rPr>
        <w:t>基</w:t>
      </w:r>
      <w:r>
        <w:rPr>
          <w:rFonts w:hint="eastAsia" w:ascii="宋体" w:hAnsi="宋体" w:eastAsia="宋体" w:cs="宋体"/>
          <w:color w:val="auto"/>
          <w:spacing w:val="7"/>
          <w:sz w:val="21"/>
          <w:szCs w:val="21"/>
        </w:rPr>
        <w:t>准价格为基础超过</w:t>
      </w:r>
      <w:r>
        <w:rPr>
          <w:rFonts w:hint="eastAsia" w:ascii="宋体" w:hAnsi="宋体" w:eastAsia="宋体" w:cs="宋体"/>
          <w:color w:val="auto"/>
          <w:spacing w:val="7"/>
          <w:sz w:val="21"/>
          <w:szCs w:val="21"/>
          <w:u w:val="single"/>
        </w:rPr>
        <w:t xml:space="preserve"> 5 </w:t>
      </w:r>
      <w:r>
        <w:rPr>
          <w:rFonts w:hint="eastAsia" w:ascii="宋体" w:hAnsi="宋体" w:eastAsia="宋体" w:cs="宋体"/>
          <w:color w:val="auto"/>
          <w:spacing w:val="7"/>
          <w:sz w:val="21"/>
          <w:szCs w:val="21"/>
        </w:rPr>
        <w:t>%时，或材料单价跌幅以已标价工程量清单中载明材料单价为基础超过</w:t>
      </w:r>
      <w:r>
        <w:rPr>
          <w:rFonts w:hint="eastAsia" w:ascii="宋体" w:hAnsi="宋体" w:eastAsia="宋体" w:cs="宋体"/>
          <w:color w:val="auto"/>
          <w:spacing w:val="7"/>
          <w:sz w:val="21"/>
          <w:szCs w:val="21"/>
          <w:u w:val="single"/>
        </w:rPr>
        <w:t xml:space="preserve"> 5 </w:t>
      </w:r>
      <w:r>
        <w:rPr>
          <w:rFonts w:hint="eastAsia" w:ascii="宋体" w:hAnsi="宋体" w:eastAsia="宋体" w:cs="宋体"/>
          <w:color w:val="auto"/>
          <w:spacing w:val="7"/>
          <w:sz w:val="21"/>
          <w:szCs w:val="21"/>
        </w:rPr>
        <w:t>%时，</w:t>
      </w:r>
      <w:r>
        <w:rPr>
          <w:rFonts w:hint="eastAsia" w:ascii="宋体" w:hAnsi="宋体" w:eastAsia="宋体" w:cs="宋体"/>
          <w:color w:val="auto"/>
          <w:spacing w:val="8"/>
          <w:sz w:val="21"/>
          <w:szCs w:val="21"/>
        </w:rPr>
        <w:t>其超过部分据实调整。</w:t>
      </w:r>
    </w:p>
    <w:p w14:paraId="5D9DD35D">
      <w:pPr>
        <w:spacing w:before="65" w:line="332" w:lineRule="auto"/>
        <w:ind w:left="8" w:right="36" w:firstLine="417"/>
        <w:rPr>
          <w:rFonts w:hint="eastAsia" w:ascii="宋体" w:hAnsi="宋体" w:eastAsia="宋体" w:cs="宋体"/>
          <w:color w:val="auto"/>
          <w:sz w:val="21"/>
          <w:szCs w:val="21"/>
        </w:rPr>
      </w:pPr>
      <w:r>
        <w:rPr>
          <w:rFonts w:hint="eastAsia" w:ascii="宋体" w:hAnsi="宋体" w:eastAsia="宋体" w:cs="宋体"/>
          <w:color w:val="auto"/>
          <w:spacing w:val="19"/>
          <w:sz w:val="21"/>
          <w:szCs w:val="21"/>
        </w:rPr>
        <w:t>②</w:t>
      </w:r>
      <w:r>
        <w:rPr>
          <w:rFonts w:hint="eastAsia" w:ascii="宋体" w:hAnsi="宋体" w:eastAsia="宋体" w:cs="宋体"/>
          <w:color w:val="auto"/>
          <w:spacing w:val="11"/>
          <w:sz w:val="21"/>
          <w:szCs w:val="21"/>
        </w:rPr>
        <w:t>承包人在已标价工程量清单载明的材料单价高于基准价格的：合同履行期间材料单价跌幅以基</w:t>
      </w:r>
      <w:r>
        <w:rPr>
          <w:rFonts w:hint="eastAsia" w:ascii="宋体" w:hAnsi="宋体" w:eastAsia="宋体" w:cs="宋体"/>
          <w:color w:val="auto"/>
          <w:sz w:val="21"/>
          <w:szCs w:val="21"/>
        </w:rPr>
        <w:t xml:space="preserve"> </w:t>
      </w:r>
      <w:r>
        <w:rPr>
          <w:rFonts w:hint="eastAsia" w:ascii="宋体" w:hAnsi="宋体" w:eastAsia="宋体" w:cs="宋体"/>
          <w:color w:val="auto"/>
          <w:spacing w:val="18"/>
          <w:sz w:val="21"/>
          <w:szCs w:val="21"/>
        </w:rPr>
        <w:t>准</w:t>
      </w:r>
      <w:r>
        <w:rPr>
          <w:rFonts w:hint="eastAsia" w:ascii="宋体" w:hAnsi="宋体" w:eastAsia="宋体" w:cs="宋体"/>
          <w:color w:val="auto"/>
          <w:spacing w:val="10"/>
          <w:sz w:val="21"/>
          <w:szCs w:val="21"/>
        </w:rPr>
        <w:t>价格为基础超过</w:t>
      </w:r>
      <w:r>
        <w:rPr>
          <w:rFonts w:hint="eastAsia" w:ascii="宋体" w:hAnsi="宋体" w:eastAsia="宋体" w:cs="宋体"/>
          <w:color w:val="auto"/>
          <w:spacing w:val="10"/>
          <w:sz w:val="21"/>
          <w:szCs w:val="21"/>
          <w:u w:val="single"/>
        </w:rPr>
        <w:t xml:space="preserve"> 5 </w:t>
      </w:r>
      <w:r>
        <w:rPr>
          <w:rFonts w:hint="eastAsia" w:ascii="宋体" w:hAnsi="宋体" w:eastAsia="宋体" w:cs="宋体"/>
          <w:color w:val="auto"/>
          <w:spacing w:val="10"/>
          <w:sz w:val="21"/>
          <w:szCs w:val="21"/>
        </w:rPr>
        <w:t>%时，材料单价涨幅以已标价工程量清单载明材料单价为基础超过</w:t>
      </w:r>
      <w:r>
        <w:rPr>
          <w:rFonts w:hint="eastAsia" w:ascii="宋体" w:hAnsi="宋体" w:eastAsia="宋体" w:cs="宋体"/>
          <w:color w:val="auto"/>
          <w:spacing w:val="10"/>
          <w:sz w:val="21"/>
          <w:szCs w:val="21"/>
          <w:u w:val="single"/>
        </w:rPr>
        <w:t xml:space="preserve"> 5 </w:t>
      </w:r>
      <w:r>
        <w:rPr>
          <w:rFonts w:hint="eastAsia" w:ascii="宋体" w:hAnsi="宋体" w:eastAsia="宋体" w:cs="宋体"/>
          <w:color w:val="auto"/>
          <w:spacing w:val="10"/>
          <w:sz w:val="21"/>
          <w:szCs w:val="21"/>
        </w:rPr>
        <w:t>%时，其超</w:t>
      </w:r>
      <w:r>
        <w:rPr>
          <w:rFonts w:hint="eastAsia" w:ascii="宋体" w:hAnsi="宋体" w:eastAsia="宋体" w:cs="宋体"/>
          <w:color w:val="auto"/>
          <w:sz w:val="21"/>
          <w:szCs w:val="21"/>
        </w:rPr>
        <w:t xml:space="preserve"> </w:t>
      </w:r>
      <w:r>
        <w:rPr>
          <w:rFonts w:hint="eastAsia" w:ascii="宋体" w:hAnsi="宋体" w:eastAsia="宋体" w:cs="宋体"/>
          <w:color w:val="auto"/>
          <w:spacing w:val="10"/>
          <w:sz w:val="21"/>
          <w:szCs w:val="21"/>
        </w:rPr>
        <w:t>过</w:t>
      </w:r>
      <w:r>
        <w:rPr>
          <w:rFonts w:hint="eastAsia" w:ascii="宋体" w:hAnsi="宋体" w:eastAsia="宋体" w:cs="宋体"/>
          <w:color w:val="auto"/>
          <w:spacing w:val="7"/>
          <w:sz w:val="21"/>
          <w:szCs w:val="21"/>
        </w:rPr>
        <w:t>部分据实调整。</w:t>
      </w:r>
    </w:p>
    <w:p w14:paraId="64748BAB">
      <w:pPr>
        <w:spacing w:line="332" w:lineRule="auto"/>
        <w:ind w:left="30" w:right="36" w:firstLine="394"/>
        <w:rPr>
          <w:rFonts w:hint="eastAsia" w:ascii="宋体" w:hAnsi="宋体" w:eastAsia="宋体" w:cs="宋体"/>
          <w:color w:val="auto"/>
          <w:sz w:val="21"/>
          <w:szCs w:val="21"/>
        </w:rPr>
      </w:pPr>
      <w:r>
        <w:rPr>
          <w:rFonts w:hint="eastAsia" w:ascii="宋体" w:hAnsi="宋体" w:eastAsia="宋体" w:cs="宋体"/>
          <w:color w:val="auto"/>
          <w:spacing w:val="19"/>
          <w:sz w:val="21"/>
          <w:szCs w:val="21"/>
        </w:rPr>
        <w:t>③</w:t>
      </w:r>
      <w:r>
        <w:rPr>
          <w:rFonts w:hint="eastAsia" w:ascii="宋体" w:hAnsi="宋体" w:eastAsia="宋体" w:cs="宋体"/>
          <w:color w:val="auto"/>
          <w:spacing w:val="11"/>
          <w:sz w:val="21"/>
          <w:szCs w:val="21"/>
        </w:rPr>
        <w:t>承包人在已标价工程量清单中载明的材料单价等于基准单价的：合同履行期间材料单价涨跌幅</w:t>
      </w:r>
      <w:r>
        <w:rPr>
          <w:rFonts w:hint="eastAsia" w:ascii="宋体" w:hAnsi="宋体" w:eastAsia="宋体" w:cs="宋体"/>
          <w:color w:val="auto"/>
          <w:sz w:val="21"/>
          <w:szCs w:val="21"/>
        </w:rPr>
        <w:t xml:space="preserve"> </w:t>
      </w:r>
      <w:r>
        <w:rPr>
          <w:rFonts w:hint="eastAsia" w:ascii="宋体" w:hAnsi="宋体" w:eastAsia="宋体" w:cs="宋体"/>
          <w:color w:val="auto"/>
          <w:spacing w:val="10"/>
          <w:sz w:val="21"/>
          <w:szCs w:val="21"/>
        </w:rPr>
        <w:t>以基</w:t>
      </w:r>
      <w:r>
        <w:rPr>
          <w:rFonts w:hint="eastAsia" w:ascii="宋体" w:hAnsi="宋体" w:eastAsia="宋体" w:cs="宋体"/>
          <w:color w:val="auto"/>
          <w:spacing w:val="7"/>
          <w:sz w:val="21"/>
          <w:szCs w:val="21"/>
        </w:rPr>
        <w:t>准</w:t>
      </w:r>
      <w:r>
        <w:rPr>
          <w:rFonts w:hint="eastAsia" w:ascii="宋体" w:hAnsi="宋体" w:eastAsia="宋体" w:cs="宋体"/>
          <w:color w:val="auto"/>
          <w:spacing w:val="5"/>
          <w:sz w:val="21"/>
          <w:szCs w:val="21"/>
        </w:rPr>
        <w:t>单价为基础超过</w:t>
      </w:r>
      <w:r>
        <w:rPr>
          <w:rFonts w:hint="eastAsia" w:ascii="宋体" w:hAnsi="宋体" w:eastAsia="宋体" w:cs="宋体"/>
          <w:color w:val="auto"/>
          <w:spacing w:val="5"/>
          <w:sz w:val="21"/>
          <w:szCs w:val="21"/>
          <w:u w:val="single"/>
        </w:rPr>
        <w:t xml:space="preserve">± 5 </w:t>
      </w:r>
      <w:r>
        <w:rPr>
          <w:rFonts w:hint="eastAsia" w:ascii="宋体" w:hAnsi="宋体" w:eastAsia="宋体" w:cs="宋体"/>
          <w:color w:val="auto"/>
          <w:spacing w:val="5"/>
          <w:sz w:val="21"/>
          <w:szCs w:val="21"/>
        </w:rPr>
        <w:t>%时，其超过部分据实调整。</w:t>
      </w:r>
    </w:p>
    <w:p w14:paraId="0F879EC4">
      <w:pPr>
        <w:spacing w:line="228" w:lineRule="auto"/>
        <w:ind w:left="427"/>
        <w:rPr>
          <w:rFonts w:hint="eastAsia" w:ascii="宋体" w:hAnsi="宋体" w:eastAsia="宋体" w:cs="宋体"/>
          <w:color w:val="auto"/>
          <w:sz w:val="21"/>
          <w:szCs w:val="21"/>
        </w:rPr>
      </w:pPr>
      <w:r>
        <w:rPr>
          <w:rFonts w:hint="eastAsia" w:ascii="宋体" w:hAnsi="宋体" w:eastAsia="宋体" w:cs="宋体"/>
          <w:color w:val="auto"/>
          <w:spacing w:val="1"/>
          <w:sz w:val="21"/>
          <w:szCs w:val="21"/>
        </w:rPr>
        <w:t>第 3 种方式：人</w:t>
      </w:r>
      <w:r>
        <w:rPr>
          <w:rFonts w:hint="eastAsia" w:ascii="宋体" w:hAnsi="宋体" w:eastAsia="宋体" w:cs="宋体"/>
          <w:color w:val="auto"/>
          <w:sz w:val="21"/>
          <w:szCs w:val="21"/>
        </w:rPr>
        <w:t>工单价调整：</w:t>
      </w:r>
    </w:p>
    <w:p w14:paraId="3142DA17">
      <w:pPr>
        <w:spacing w:before="81" w:line="287" w:lineRule="auto"/>
        <w:ind w:left="428"/>
        <w:rPr>
          <w:rFonts w:hint="eastAsia" w:ascii="宋体" w:hAnsi="宋体" w:eastAsia="宋体" w:cs="宋体"/>
          <w:color w:val="auto"/>
          <w:sz w:val="21"/>
          <w:szCs w:val="21"/>
        </w:rPr>
      </w:pPr>
      <w:r>
        <w:rPr>
          <w:rFonts w:hint="eastAsia" w:ascii="宋体" w:hAnsi="宋体" w:eastAsia="宋体" w:cs="宋体"/>
          <w:color w:val="auto"/>
          <w:spacing w:val="14"/>
          <w:sz w:val="21"/>
          <w:szCs w:val="21"/>
        </w:rPr>
        <w:t>合同</w:t>
      </w:r>
      <w:r>
        <w:rPr>
          <w:rFonts w:hint="eastAsia" w:ascii="宋体" w:hAnsi="宋体" w:eastAsia="宋体" w:cs="宋体"/>
          <w:color w:val="auto"/>
          <w:spacing w:val="13"/>
          <w:sz w:val="21"/>
          <w:szCs w:val="21"/>
        </w:rPr>
        <w:t>履</w:t>
      </w:r>
      <w:r>
        <w:rPr>
          <w:rFonts w:hint="eastAsia" w:ascii="宋体" w:hAnsi="宋体" w:eastAsia="宋体" w:cs="宋体"/>
          <w:color w:val="auto"/>
          <w:spacing w:val="7"/>
          <w:sz w:val="21"/>
          <w:szCs w:val="21"/>
        </w:rPr>
        <w:t>行期间人工单价涨跌幅以基准单价为基础超过</w:t>
      </w:r>
      <w:r>
        <w:rPr>
          <w:rFonts w:hint="eastAsia" w:ascii="宋体" w:hAnsi="宋体" w:eastAsia="宋体" w:cs="宋体"/>
          <w:color w:val="auto"/>
          <w:spacing w:val="7"/>
          <w:sz w:val="21"/>
          <w:szCs w:val="21"/>
          <w:u w:val="single"/>
        </w:rPr>
        <w:t xml:space="preserve">± 5 </w:t>
      </w:r>
      <w:r>
        <w:rPr>
          <w:rFonts w:hint="eastAsia" w:ascii="宋体" w:hAnsi="宋体" w:eastAsia="宋体" w:cs="宋体"/>
          <w:color w:val="auto"/>
          <w:spacing w:val="7"/>
          <w:sz w:val="21"/>
          <w:szCs w:val="21"/>
        </w:rPr>
        <w:t>%时，其超过部分据实调整。</w:t>
      </w:r>
    </w:p>
    <w:p w14:paraId="301545A1">
      <w:pPr>
        <w:spacing w:before="80" w:line="233" w:lineRule="auto"/>
        <w:ind w:left="427"/>
        <w:rPr>
          <w:rFonts w:hint="eastAsia" w:ascii="宋体" w:hAnsi="宋体" w:eastAsia="宋体" w:cs="宋体"/>
          <w:color w:val="auto"/>
          <w:sz w:val="21"/>
          <w:szCs w:val="21"/>
        </w:rPr>
      </w:pPr>
      <w:r>
        <w:rPr>
          <w:rFonts w:hint="eastAsia" w:ascii="宋体" w:hAnsi="宋体" w:eastAsia="宋体" w:cs="宋体"/>
          <w:color w:val="auto"/>
          <w:spacing w:val="10"/>
          <w:sz w:val="21"/>
          <w:szCs w:val="21"/>
        </w:rPr>
        <w:t>注：省市有关部门对定额或调价如另有规定的，从其规定</w:t>
      </w:r>
      <w:r>
        <w:rPr>
          <w:rFonts w:hint="eastAsia" w:ascii="宋体" w:hAnsi="宋体" w:eastAsia="宋体" w:cs="宋体"/>
          <w:color w:val="auto"/>
          <w:spacing w:val="9"/>
          <w:sz w:val="21"/>
          <w:szCs w:val="21"/>
        </w:rPr>
        <w:t>。</w:t>
      </w:r>
    </w:p>
    <w:p w14:paraId="476E662A">
      <w:pPr>
        <w:spacing w:line="400" w:lineRule="exact"/>
        <w:ind w:firstLine="420" w:firstLineChars="200"/>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rPr>
        <w:t>13.8.3 关于采用其他方式调整合同价款的约定：</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u w:val="single"/>
          <w:lang w:val="en-US" w:eastAsia="zh-CN"/>
        </w:rPr>
        <w:t>/</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kern w:val="1"/>
          <w:sz w:val="21"/>
          <w:szCs w:val="21"/>
          <w:highlight w:val="none"/>
        </w:rPr>
        <w:t>。</w:t>
      </w:r>
    </w:p>
    <w:p w14:paraId="3F372042">
      <w:pPr>
        <w:keepNext w:val="0"/>
        <w:keepLines w:val="0"/>
        <w:pageBreakBefore w:val="0"/>
        <w:widowControl/>
        <w:kinsoku w:val="0"/>
        <w:overflowPunct/>
        <w:autoSpaceDE w:val="0"/>
        <w:autoSpaceDN w:val="0"/>
        <w:bidi w:val="0"/>
        <w:adjustRightInd w:val="0"/>
        <w:snapToGrid w:val="0"/>
        <w:spacing w:line="400" w:lineRule="exact"/>
        <w:jc w:val="left"/>
        <w:textAlignment w:val="baseline"/>
        <w:rPr>
          <w:rFonts w:hint="eastAsia" w:ascii="宋体" w:hAnsi="宋体" w:eastAsia="宋体" w:cs="宋体"/>
          <w:b/>
          <w:bCs/>
          <w:snapToGrid w:val="0"/>
          <w:color w:val="000000" w:themeColor="text1"/>
          <w:kern w:val="1"/>
          <w:szCs w:val="21"/>
          <w:highlight w:val="none"/>
          <w:lang w:val="en-US" w:eastAsia="zh-CN"/>
          <w14:textFill>
            <w14:solidFill>
              <w14:schemeClr w14:val="tx1"/>
            </w14:solidFill>
          </w14:textFill>
        </w:rPr>
      </w:pPr>
      <w:r>
        <w:rPr>
          <w:rFonts w:hint="eastAsia" w:ascii="宋体" w:hAnsi="宋体" w:eastAsia="宋体" w:cs="宋体"/>
          <w:b/>
          <w:bCs/>
          <w:snapToGrid w:val="0"/>
          <w:color w:val="000000" w:themeColor="text1"/>
          <w:kern w:val="1"/>
          <w:szCs w:val="21"/>
          <w:highlight w:val="none"/>
          <w:lang w:val="en-US" w:eastAsia="zh-CN"/>
          <w14:textFill>
            <w14:solidFill>
              <w14:schemeClr w14:val="tx1"/>
            </w14:solidFill>
          </w14:textFill>
        </w:rPr>
        <w:t>第14条 合同价格与支付</w:t>
      </w:r>
    </w:p>
    <w:p w14:paraId="2AD859BD">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Arial" w:eastAsia="宋体" w:cs="宋体"/>
          <w:b/>
          <w:bCs/>
          <w:snapToGrid w:val="0"/>
          <w:color w:val="000000" w:themeColor="text1"/>
          <w:kern w:val="1"/>
          <w:szCs w:val="21"/>
          <w:highlight w:val="none"/>
          <w:lang w:eastAsia="zh-CN"/>
          <w14:textFill>
            <w14:solidFill>
              <w14:schemeClr w14:val="tx1"/>
            </w14:solidFill>
          </w14:textFill>
        </w:rPr>
      </w:pP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14</w:t>
      </w:r>
      <w:r>
        <w:rPr>
          <w:rFonts w:hint="eastAsia" w:ascii="宋体" w:hAnsi="宋体" w:eastAsia="宋体" w:cs="宋体"/>
          <w:b/>
          <w:bCs/>
          <w:snapToGrid w:val="0"/>
          <w:color w:val="000000" w:themeColor="text1"/>
          <w:kern w:val="1"/>
          <w:szCs w:val="21"/>
          <w:highlight w:val="none"/>
          <w:lang w:val="en-US" w:eastAsia="zh-CN"/>
          <w14:textFill>
            <w14:solidFill>
              <w14:schemeClr w14:val="tx1"/>
            </w14:solidFill>
          </w14:textFill>
        </w:rPr>
        <w:t>.1</w:t>
      </w:r>
      <w:r>
        <w:rPr>
          <w:rFonts w:ascii="宋体" w:hAnsi="宋体" w:eastAsia="Arial" w:cs="宋体"/>
          <w:b/>
          <w:bCs/>
          <w:snapToGrid w:val="0"/>
          <w:color w:val="000000" w:themeColor="text1"/>
          <w:kern w:val="1"/>
          <w:szCs w:val="21"/>
          <w:highlight w:val="none"/>
          <w:lang w:eastAsia="en-US"/>
          <w14:textFill>
            <w14:solidFill>
              <w14:schemeClr w14:val="tx1"/>
            </w14:solidFill>
          </w14:textFill>
        </w:rPr>
        <w:t xml:space="preserve"> </w:t>
      </w: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合同价款</w:t>
      </w:r>
      <w:r>
        <w:rPr>
          <w:rFonts w:hint="eastAsia" w:ascii="宋体" w:hAnsi="宋体" w:eastAsia="宋体" w:cs="宋体"/>
          <w:b/>
          <w:bCs/>
          <w:snapToGrid w:val="0"/>
          <w:color w:val="000000" w:themeColor="text1"/>
          <w:kern w:val="1"/>
          <w:szCs w:val="21"/>
          <w:highlight w:val="none"/>
          <w:lang w:val="en-US" w:eastAsia="zh-CN"/>
          <w14:textFill>
            <w14:solidFill>
              <w14:schemeClr w14:val="tx1"/>
            </w14:solidFill>
          </w14:textFill>
        </w:rPr>
        <w:t>形式</w:t>
      </w:r>
    </w:p>
    <w:p w14:paraId="2C16E1B2">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val="0"/>
          <w:bCs w:val="0"/>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b w:val="0"/>
          <w:bCs w:val="0"/>
          <w:snapToGrid w:val="0"/>
          <w:color w:val="000000" w:themeColor="text1"/>
          <w:kern w:val="1"/>
          <w:szCs w:val="21"/>
          <w:highlight w:val="none"/>
          <w:lang w:eastAsia="en-US"/>
          <w14:textFill>
            <w14:solidFill>
              <w14:schemeClr w14:val="tx1"/>
            </w14:solidFill>
          </w14:textFill>
        </w:rPr>
        <w:t xml:space="preserve">关于合同价格形式的约定： </w:t>
      </w:r>
      <w:r>
        <w:rPr>
          <w:rFonts w:hint="eastAsia" w:ascii="宋体" w:hAnsi="宋体" w:eastAsia="宋体" w:cs="宋体"/>
          <w:b w:val="0"/>
          <w:bCs w:val="0"/>
          <w:snapToGrid w:val="0"/>
          <w:color w:val="000000" w:themeColor="text1"/>
          <w:kern w:val="1"/>
          <w:szCs w:val="21"/>
          <w:highlight w:val="none"/>
          <w:u w:val="single"/>
          <w:lang w:val="en-US" w:eastAsia="zh-CN"/>
          <w14:textFill>
            <w14:solidFill>
              <w14:schemeClr w14:val="tx1"/>
            </w14:solidFill>
          </w14:textFill>
        </w:rPr>
        <w:t xml:space="preserve">  总价合同  </w:t>
      </w:r>
      <w:r>
        <w:rPr>
          <w:rFonts w:hint="eastAsia" w:ascii="宋体" w:hAnsi="宋体" w:eastAsia="Arial" w:cs="宋体"/>
          <w:b w:val="0"/>
          <w:bCs w:val="0"/>
          <w:snapToGrid w:val="0"/>
          <w:color w:val="000000" w:themeColor="text1"/>
          <w:kern w:val="1"/>
          <w:szCs w:val="21"/>
          <w:highlight w:val="none"/>
          <w:lang w:eastAsia="en-US"/>
          <w14:textFill>
            <w14:solidFill>
              <w14:schemeClr w14:val="tx1"/>
            </w14:solidFill>
          </w14:textFill>
        </w:rPr>
        <w:t xml:space="preserve"> 。</w:t>
      </w:r>
    </w:p>
    <w:p w14:paraId="6DF486A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val="0"/>
          <w:bCs w:val="0"/>
          <w:snapToGrid w:val="0"/>
          <w:color w:val="auto"/>
          <w:kern w:val="1"/>
          <w:szCs w:val="21"/>
          <w:highlight w:val="none"/>
          <w:lang w:eastAsia="en-US"/>
        </w:rPr>
      </w:pPr>
      <w:r>
        <w:rPr>
          <w:rFonts w:hint="eastAsia" w:ascii="宋体" w:hAnsi="宋体" w:eastAsia="Arial" w:cs="宋体"/>
          <w:b w:val="0"/>
          <w:bCs w:val="0"/>
          <w:snapToGrid w:val="0"/>
          <w:color w:val="auto"/>
          <w:kern w:val="1"/>
          <w:szCs w:val="21"/>
          <w:highlight w:val="none"/>
          <w:lang w:eastAsia="en-US"/>
        </w:rPr>
        <w:t>14.1.2.1本次招标的项目工程结算价由设计费、</w:t>
      </w:r>
      <w:r>
        <w:rPr>
          <w:rFonts w:hint="eastAsia" w:ascii="宋体" w:hAnsi="宋体" w:cs="宋体"/>
          <w:color w:val="auto"/>
          <w:szCs w:val="21"/>
          <w:highlight w:val="none"/>
          <w:lang w:val="en-US" w:eastAsia="zh-CN"/>
        </w:rPr>
        <w:t>建筑</w:t>
      </w:r>
      <w:r>
        <w:rPr>
          <w:rFonts w:hint="eastAsia" w:ascii="宋体" w:hAnsi="宋体" w:eastAsia="Arial" w:cs="宋体"/>
          <w:b w:val="0"/>
          <w:bCs w:val="0"/>
          <w:snapToGrid w:val="0"/>
          <w:color w:val="auto"/>
          <w:kern w:val="1"/>
          <w:szCs w:val="21"/>
          <w:highlight w:val="none"/>
          <w:lang w:eastAsia="en-US"/>
        </w:rPr>
        <w:t>安装工程费两部分组成。</w:t>
      </w:r>
    </w:p>
    <w:p w14:paraId="013AED55">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val="0"/>
          <w:bCs w:val="0"/>
          <w:snapToGrid w:val="0"/>
          <w:color w:val="auto"/>
          <w:kern w:val="1"/>
          <w:szCs w:val="21"/>
          <w:highlight w:val="none"/>
          <w:lang w:eastAsia="en-US"/>
        </w:rPr>
      </w:pPr>
      <w:r>
        <w:rPr>
          <w:rFonts w:hint="eastAsia" w:ascii="宋体" w:hAnsi="宋体" w:eastAsia="Arial" w:cs="宋体"/>
          <w:b w:val="0"/>
          <w:bCs w:val="0"/>
          <w:snapToGrid w:val="0"/>
          <w:color w:val="auto"/>
          <w:kern w:val="1"/>
          <w:szCs w:val="21"/>
          <w:highlight w:val="none"/>
          <w:lang w:eastAsia="en-US"/>
        </w:rPr>
        <w:t>14.1.2.2 设计费：</w:t>
      </w:r>
      <w:r>
        <w:rPr>
          <w:rFonts w:hint="eastAsia" w:ascii="宋体" w:hAnsi="宋体" w:eastAsia="Arial" w:cs="宋体"/>
          <w:b w:val="0"/>
          <w:bCs w:val="0"/>
          <w:snapToGrid w:val="0"/>
          <w:color w:val="auto"/>
          <w:kern w:val="1"/>
          <w:szCs w:val="21"/>
          <w:highlight w:val="none"/>
          <w:u w:val="single"/>
          <w:lang w:eastAsia="en-US"/>
        </w:rPr>
        <w:t xml:space="preserve">  </w:t>
      </w:r>
      <w:r>
        <w:rPr>
          <w:rFonts w:hint="eastAsia" w:ascii="宋体" w:hAnsi="宋体" w:eastAsia="宋体" w:cs="宋体"/>
          <w:b w:val="0"/>
          <w:bCs w:val="0"/>
          <w:snapToGrid w:val="0"/>
          <w:color w:val="auto"/>
          <w:kern w:val="1"/>
          <w:szCs w:val="21"/>
          <w:highlight w:val="none"/>
          <w:u w:val="single"/>
          <w:lang w:val="en-US" w:eastAsia="zh-CN"/>
        </w:rPr>
        <w:t xml:space="preserve"> </w:t>
      </w:r>
      <w:r>
        <w:rPr>
          <w:rFonts w:hint="eastAsia" w:ascii="宋体" w:hAnsi="宋体" w:eastAsia="Arial" w:cs="宋体"/>
          <w:b w:val="0"/>
          <w:bCs w:val="0"/>
          <w:snapToGrid w:val="0"/>
          <w:color w:val="auto"/>
          <w:kern w:val="1"/>
          <w:szCs w:val="21"/>
          <w:highlight w:val="none"/>
          <w:u w:val="single"/>
          <w:lang w:eastAsia="en-US"/>
        </w:rPr>
        <w:t xml:space="preserve">  </w:t>
      </w:r>
      <w:r>
        <w:rPr>
          <w:rFonts w:hint="eastAsia" w:ascii="宋体" w:hAnsi="宋体" w:eastAsia="Arial" w:cs="宋体"/>
          <w:b w:val="0"/>
          <w:bCs w:val="0"/>
          <w:snapToGrid w:val="0"/>
          <w:color w:val="auto"/>
          <w:kern w:val="1"/>
          <w:szCs w:val="21"/>
          <w:highlight w:val="none"/>
          <w:u w:val="none"/>
          <w:lang w:eastAsia="en-US"/>
        </w:rPr>
        <w:t xml:space="preserve"> 万</w:t>
      </w:r>
      <w:r>
        <w:rPr>
          <w:rFonts w:hint="eastAsia" w:ascii="宋体" w:hAnsi="宋体" w:eastAsia="Arial" w:cs="宋体"/>
          <w:b w:val="0"/>
          <w:bCs w:val="0"/>
          <w:snapToGrid w:val="0"/>
          <w:color w:val="auto"/>
          <w:kern w:val="1"/>
          <w:szCs w:val="21"/>
          <w:highlight w:val="none"/>
          <w:lang w:eastAsia="en-US"/>
        </w:rPr>
        <w:t xml:space="preserve">元，总价包干，竣工结算时不予调整。 </w:t>
      </w:r>
    </w:p>
    <w:p w14:paraId="71689B98">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auto"/>
          <w:kern w:val="1"/>
          <w:szCs w:val="21"/>
          <w:highlight w:val="none"/>
          <w:lang w:eastAsia="en-US"/>
        </w:rPr>
      </w:pPr>
      <w:r>
        <w:rPr>
          <w:rFonts w:hint="eastAsia" w:ascii="宋体" w:hAnsi="宋体" w:eastAsia="Arial" w:cs="宋体"/>
          <w:b w:val="0"/>
          <w:bCs w:val="0"/>
          <w:snapToGrid w:val="0"/>
          <w:color w:val="auto"/>
          <w:kern w:val="1"/>
          <w:szCs w:val="21"/>
          <w:highlight w:val="none"/>
          <w:lang w:eastAsia="en-US"/>
        </w:rPr>
        <w:t xml:space="preserve">14.1.2.3 </w:t>
      </w:r>
      <w:r>
        <w:rPr>
          <w:rFonts w:hint="eastAsia" w:ascii="宋体" w:hAnsi="宋体" w:cs="宋体"/>
          <w:color w:val="auto"/>
          <w:szCs w:val="21"/>
          <w:highlight w:val="none"/>
          <w:lang w:val="en-US" w:eastAsia="zh-CN"/>
        </w:rPr>
        <w:t>建筑</w:t>
      </w:r>
      <w:r>
        <w:rPr>
          <w:rFonts w:hint="eastAsia" w:ascii="宋体" w:hAnsi="宋体" w:eastAsia="Arial" w:cs="宋体"/>
          <w:b w:val="0"/>
          <w:bCs w:val="0"/>
          <w:snapToGrid w:val="0"/>
          <w:color w:val="auto"/>
          <w:kern w:val="1"/>
          <w:szCs w:val="21"/>
          <w:highlight w:val="none"/>
          <w:lang w:eastAsia="en-US"/>
        </w:rPr>
        <w:t>安装工程费：</w:t>
      </w:r>
      <w:r>
        <w:rPr>
          <w:rFonts w:hint="eastAsia" w:ascii="宋体" w:hAnsi="宋体" w:eastAsia="Arial" w:cs="宋体"/>
          <w:b/>
          <w:bCs/>
          <w:snapToGrid w:val="0"/>
          <w:color w:val="auto"/>
          <w:kern w:val="1"/>
          <w:szCs w:val="21"/>
          <w:highlight w:val="none"/>
          <w:lang w:eastAsia="en-US"/>
        </w:rPr>
        <w:t>采用固定总价方式，以本项目发布的初步设计图纸及技术规范为最低建设标准，中标后，施工图图纸完成后需经相关部门审核通过。由于施工图优化而产生的工程造价增加，竣工结算时不予调整。</w:t>
      </w:r>
    </w:p>
    <w:p w14:paraId="50679A52">
      <w:pPr>
        <w:topLinePunct/>
        <w:spacing w:line="40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rPr>
        <w:t>14.2 预付款</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指</w:t>
      </w:r>
      <w:r>
        <w:rPr>
          <w:rFonts w:hint="eastAsia" w:ascii="宋体" w:hAnsi="宋体" w:cs="宋体"/>
          <w:color w:val="auto"/>
          <w:szCs w:val="21"/>
          <w:highlight w:val="none"/>
          <w:lang w:val="en-US" w:eastAsia="zh-CN"/>
        </w:rPr>
        <w:t>建筑</w:t>
      </w:r>
      <w:r>
        <w:rPr>
          <w:rFonts w:hint="eastAsia" w:ascii="宋体" w:hAnsi="宋体" w:eastAsia="宋体" w:cs="宋体"/>
          <w:color w:val="auto"/>
          <w:kern w:val="0"/>
          <w:szCs w:val="21"/>
          <w:highlight w:val="none"/>
          <w:lang w:val="en-US" w:eastAsia="zh-CN"/>
        </w:rPr>
        <w:t>安装工程费</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 xml:space="preserve"> </w:t>
      </w:r>
    </w:p>
    <w:p w14:paraId="274AB5D3">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14.2.1 预付款支付</w:t>
      </w:r>
    </w:p>
    <w:p w14:paraId="64B579D3">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预付款的金额或比例为：</w:t>
      </w:r>
      <w:r>
        <w:rPr>
          <w:rFonts w:hint="eastAsia" w:ascii="宋体" w:hAnsi="宋体" w:cs="宋体"/>
          <w:color w:val="auto"/>
          <w:szCs w:val="21"/>
          <w:highlight w:val="none"/>
          <w:u w:val="single"/>
        </w:rPr>
        <w:t>暂定合同价款总额（不包括暂列金额</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安全文明施工费</w:t>
      </w:r>
      <w:r>
        <w:rPr>
          <w:rFonts w:hint="eastAsia" w:ascii="宋体" w:hAnsi="宋体" w:cs="宋体"/>
          <w:color w:val="auto"/>
          <w:szCs w:val="21"/>
          <w:highlight w:val="none"/>
          <w:u w:val="single"/>
          <w:lang w:eastAsia="zh-CN"/>
        </w:rPr>
        <w:t>、</w:t>
      </w:r>
      <w:r>
        <w:rPr>
          <w:rFonts w:hint="eastAsia" w:ascii="宋体" w:hAnsi="宋体" w:cs="宋体"/>
          <w:b/>
          <w:bCs/>
          <w:color w:val="auto"/>
          <w:szCs w:val="21"/>
          <w:highlight w:val="none"/>
          <w:u w:val="single"/>
          <w:lang w:val="en-US" w:eastAsia="zh-CN"/>
        </w:rPr>
        <w:t>设计费，</w:t>
      </w:r>
      <w:r>
        <w:rPr>
          <w:rFonts w:hint="eastAsia" w:ascii="宋体" w:hAnsi="宋体" w:cs="宋体"/>
          <w:color w:val="auto"/>
          <w:szCs w:val="21"/>
          <w:highlight w:val="none"/>
          <w:u w:val="single"/>
        </w:rPr>
        <w:t>下同）的9%</w:t>
      </w:r>
      <w:r>
        <w:rPr>
          <w:rFonts w:hint="eastAsia" w:ascii="宋体" w:hAnsi="宋体" w:cs="宋体"/>
          <w:color w:val="auto"/>
          <w:szCs w:val="21"/>
          <w:highlight w:val="none"/>
        </w:rPr>
        <w:t>。</w:t>
      </w:r>
    </w:p>
    <w:p w14:paraId="7934F19A">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预付款支付期限：</w:t>
      </w:r>
      <w:r>
        <w:rPr>
          <w:rFonts w:hint="eastAsia" w:ascii="宋体" w:hAnsi="宋体" w:cs="宋体"/>
          <w:color w:val="auto"/>
          <w:szCs w:val="21"/>
          <w:highlight w:val="none"/>
          <w:u w:val="single"/>
        </w:rPr>
        <w:t>开工后7日内</w:t>
      </w:r>
      <w:r>
        <w:rPr>
          <w:rFonts w:hint="eastAsia" w:ascii="宋体" w:hAnsi="宋体" w:cs="宋体"/>
          <w:color w:val="auto"/>
          <w:szCs w:val="21"/>
          <w:highlight w:val="none"/>
        </w:rPr>
        <w:t>。</w:t>
      </w:r>
    </w:p>
    <w:p w14:paraId="338D78F7">
      <w:pPr>
        <w:topLinePunct/>
        <w:spacing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预付款扣回的方式：</w:t>
      </w:r>
      <w:r>
        <w:rPr>
          <w:rFonts w:hint="eastAsia" w:ascii="宋体" w:hAnsi="宋体" w:cs="宋体"/>
          <w:color w:val="auto"/>
          <w:szCs w:val="21"/>
          <w:highlight w:val="none"/>
          <w:u w:val="single"/>
        </w:rPr>
        <w:t>本工程开工后并支付工程款时开始扣回预付款，竣工验收合格后扣回50%。如果承包人在工程完工移交之前或按本合同约定解除合同前尚未按照本款偿清预付款，承包人应将当时未偿还部分的全部余额支付给发包人，否则发包人有权从任何应该支付或将要支付给承包人的金额中扣除该偿还金额。</w:t>
      </w:r>
    </w:p>
    <w:p w14:paraId="6D51C131">
      <w:pPr>
        <w:pStyle w:val="9"/>
        <w:spacing w:line="400" w:lineRule="exact"/>
        <w:rPr>
          <w:rFonts w:hint="eastAsia" w:ascii="宋体" w:hAnsi="宋体" w:cs="宋体"/>
          <w:color w:val="auto"/>
          <w:szCs w:val="21"/>
          <w:highlight w:val="none"/>
        </w:rPr>
      </w:pPr>
      <w:r>
        <w:rPr>
          <w:rFonts w:hint="eastAsia" w:ascii="宋体" w:hAnsi="宋体" w:cs="宋体"/>
          <w:b/>
          <w:color w:val="auto"/>
          <w:szCs w:val="21"/>
          <w:highlight w:val="none"/>
        </w:rPr>
        <w:t>　　工资性工程预付款</w:t>
      </w:r>
      <w:r>
        <w:rPr>
          <w:rFonts w:hint="eastAsia" w:ascii="宋体" w:hAnsi="宋体" w:cs="宋体"/>
          <w:color w:val="auto"/>
          <w:szCs w:val="21"/>
          <w:highlight w:val="none"/>
        </w:rPr>
        <w:t>比例或金额：</w:t>
      </w:r>
      <w:r>
        <w:rPr>
          <w:rFonts w:hint="eastAsia" w:ascii="宋体" w:hAnsi="宋体" w:cs="宋体"/>
          <w:b/>
          <w:bCs/>
          <w:color w:val="auto"/>
          <w:szCs w:val="21"/>
          <w:highlight w:val="none"/>
          <w:u w:val="single"/>
        </w:rPr>
        <w:t>合同价款总额（</w:t>
      </w:r>
      <w:r>
        <w:rPr>
          <w:rFonts w:hint="eastAsia" w:ascii="宋体" w:hAnsi="宋体" w:cs="宋体"/>
          <w:color w:val="auto"/>
          <w:szCs w:val="21"/>
          <w:highlight w:val="none"/>
          <w:u w:val="single"/>
        </w:rPr>
        <w:t>不包括暂列金额</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安全文明施工费</w:t>
      </w:r>
      <w:r>
        <w:rPr>
          <w:rFonts w:hint="eastAsia" w:ascii="宋体" w:hAnsi="宋体" w:cs="宋体"/>
          <w:color w:val="auto"/>
          <w:szCs w:val="21"/>
          <w:highlight w:val="none"/>
          <w:u w:val="single"/>
          <w:lang w:eastAsia="zh-CN"/>
        </w:rPr>
        <w:t>、</w:t>
      </w:r>
      <w:r>
        <w:rPr>
          <w:rFonts w:hint="eastAsia" w:ascii="宋体" w:hAnsi="宋体" w:cs="宋体"/>
          <w:b/>
          <w:bCs/>
          <w:color w:val="auto"/>
          <w:szCs w:val="21"/>
          <w:highlight w:val="none"/>
          <w:u w:val="single"/>
          <w:lang w:val="en-US" w:eastAsia="zh-CN"/>
        </w:rPr>
        <w:t>设计费，</w:t>
      </w:r>
      <w:r>
        <w:rPr>
          <w:rFonts w:hint="eastAsia" w:ascii="宋体" w:hAnsi="宋体" w:cs="宋体"/>
          <w:b/>
          <w:bCs/>
          <w:color w:val="auto"/>
          <w:szCs w:val="21"/>
          <w:highlight w:val="none"/>
          <w:u w:val="single"/>
        </w:rPr>
        <w:t>下同）的1%，建设单位应将工资性工程预付款足额拨付到工资专用账户</w:t>
      </w:r>
      <w:r>
        <w:rPr>
          <w:rFonts w:hint="eastAsia" w:ascii="宋体" w:hAnsi="宋体" w:cs="宋体"/>
          <w:b/>
          <w:bCs/>
          <w:color w:val="auto"/>
          <w:szCs w:val="21"/>
          <w:highlight w:val="none"/>
        </w:rPr>
        <w:t>。</w:t>
      </w:r>
      <w:r>
        <w:rPr>
          <w:rFonts w:hint="eastAsia" w:ascii="宋体" w:hAnsi="宋体" w:cs="宋体"/>
          <w:color w:val="auto"/>
          <w:szCs w:val="21"/>
          <w:highlight w:val="none"/>
        </w:rPr>
        <w:t xml:space="preserve"> </w:t>
      </w:r>
    </w:p>
    <w:p w14:paraId="1A719FB7">
      <w:pPr>
        <w:tabs>
          <w:tab w:val="left" w:pos="8640"/>
        </w:tabs>
        <w:spacing w:line="400" w:lineRule="exact"/>
        <w:jc w:val="left"/>
        <w:rPr>
          <w:rFonts w:hint="eastAsia" w:ascii="宋体" w:hAnsi="宋体" w:cs="宋体"/>
          <w:color w:val="auto"/>
          <w:szCs w:val="21"/>
          <w:highlight w:val="none"/>
        </w:rPr>
      </w:pPr>
      <w:r>
        <w:rPr>
          <w:rFonts w:hint="eastAsia" w:ascii="宋体" w:hAnsi="宋体" w:cs="宋体"/>
          <w:b/>
          <w:color w:val="auto"/>
          <w:szCs w:val="21"/>
          <w:highlight w:val="none"/>
        </w:rPr>
        <w:t>　　工资性工程</w:t>
      </w:r>
      <w:r>
        <w:rPr>
          <w:rFonts w:hint="eastAsia" w:ascii="宋体" w:hAnsi="宋体" w:cs="宋体"/>
          <w:color w:val="auto"/>
          <w:szCs w:val="21"/>
          <w:highlight w:val="none"/>
        </w:rPr>
        <w:t>预付款支付期限：</w:t>
      </w:r>
      <w:r>
        <w:rPr>
          <w:rFonts w:hint="eastAsia" w:ascii="宋体" w:hAnsi="宋体" w:cs="宋体"/>
          <w:color w:val="auto"/>
          <w:szCs w:val="21"/>
          <w:highlight w:val="none"/>
          <w:u w:val="single"/>
        </w:rPr>
        <w:t>开工前</w:t>
      </w:r>
      <w:r>
        <w:rPr>
          <w:rFonts w:hint="eastAsia" w:ascii="宋体" w:hAnsi="宋体" w:cs="宋体"/>
          <w:color w:val="auto"/>
          <w:szCs w:val="21"/>
          <w:highlight w:val="none"/>
        </w:rPr>
        <w:t>。</w:t>
      </w:r>
    </w:p>
    <w:p w14:paraId="3FB6EDE4">
      <w:pPr>
        <w:spacing w:line="400" w:lineRule="exact"/>
        <w:jc w:val="left"/>
        <w:rPr>
          <w:rFonts w:hint="eastAsia" w:ascii="宋体" w:hAnsi="宋体" w:cs="宋体"/>
          <w:b/>
          <w:color w:val="auto"/>
          <w:szCs w:val="21"/>
          <w:highlight w:val="none"/>
          <w:u w:val="single"/>
        </w:rPr>
      </w:pPr>
      <w:r>
        <w:rPr>
          <w:rFonts w:hint="eastAsia" w:ascii="宋体" w:hAnsi="宋体" w:cs="宋体"/>
          <w:color w:val="auto"/>
          <w:szCs w:val="21"/>
          <w:highlight w:val="none"/>
        </w:rPr>
        <w:t>　　预付款扣回的方式：</w:t>
      </w:r>
      <w:r>
        <w:rPr>
          <w:rFonts w:hint="eastAsia" w:ascii="宋体" w:hAnsi="宋体" w:cs="宋体"/>
          <w:color w:val="auto"/>
          <w:szCs w:val="21"/>
          <w:highlight w:val="none"/>
          <w:u w:val="single"/>
        </w:rPr>
        <w:t>本工程开工后并支付工资性工程进度款时开始扣回预付款，</w:t>
      </w:r>
      <w:r>
        <w:rPr>
          <w:rFonts w:hint="eastAsia" w:ascii="宋体" w:hAnsi="宋体" w:cs="宋体"/>
          <w:b/>
          <w:color w:val="auto"/>
          <w:szCs w:val="21"/>
          <w:highlight w:val="none"/>
          <w:u w:val="single"/>
        </w:rPr>
        <w:t>工程竣工验收符合质量要求后扣回</w:t>
      </w:r>
      <w:r>
        <w:rPr>
          <w:rFonts w:hint="eastAsia" w:ascii="宋体" w:hAnsi="宋体" w:cs="宋体"/>
          <w:b/>
          <w:color w:val="auto"/>
          <w:szCs w:val="21"/>
          <w:highlight w:val="none"/>
          <w:u w:val="single"/>
          <w:lang w:val="en-US" w:eastAsia="zh-CN"/>
        </w:rPr>
        <w:t>100</w:t>
      </w:r>
      <w:r>
        <w:rPr>
          <w:rFonts w:hint="eastAsia" w:ascii="宋体" w:hAnsi="宋体" w:cs="宋体"/>
          <w:b/>
          <w:color w:val="auto"/>
          <w:szCs w:val="21"/>
          <w:highlight w:val="none"/>
          <w:u w:val="single"/>
        </w:rPr>
        <w:t>%。</w:t>
      </w:r>
    </w:p>
    <w:p w14:paraId="4686131B">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14.2.2预付款担保</w:t>
      </w:r>
    </w:p>
    <w:p w14:paraId="214BBA63">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提供预付款担保期限：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032F79">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预付款担保形式：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258BA238">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 工程进度款</w:t>
      </w:r>
    </w:p>
    <w:p w14:paraId="2C0AA02E">
      <w:pPr>
        <w:topLinePunct/>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14.3.1 计量原则</w:t>
      </w:r>
    </w:p>
    <w:p w14:paraId="350B8189">
      <w:pPr>
        <w:topLinePunct/>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工程量计算规则：</w:t>
      </w:r>
      <w:r>
        <w:rPr>
          <w:rFonts w:hint="eastAsia" w:ascii="宋体" w:hAnsi="宋体" w:cs="宋体"/>
          <w:color w:val="auto"/>
          <w:szCs w:val="21"/>
          <w:highlight w:val="none"/>
          <w:u w:val="single"/>
        </w:rPr>
        <w:t>按实际完成数量计量，工程量计算规则执行国家标准或其适用的修订版本和有合同约束力的图纸进行计量</w:t>
      </w:r>
      <w:r>
        <w:rPr>
          <w:rFonts w:hint="eastAsia" w:ascii="宋体" w:hAnsi="宋体" w:cs="宋体"/>
          <w:color w:val="auto"/>
          <w:kern w:val="0"/>
          <w:szCs w:val="21"/>
          <w:highlight w:val="none"/>
        </w:rPr>
        <w:t>。</w:t>
      </w:r>
    </w:p>
    <w:p w14:paraId="511B69BE">
      <w:pPr>
        <w:topLinePunct/>
        <w:spacing w:line="400" w:lineRule="exact"/>
        <w:ind w:firstLine="420" w:firstLineChars="200"/>
        <w:rPr>
          <w:rFonts w:hint="eastAsia" w:ascii="宋体" w:hAnsi="宋体" w:cs="宋体"/>
          <w:b/>
          <w:color w:val="auto"/>
          <w:kern w:val="0"/>
          <w:szCs w:val="21"/>
          <w:highlight w:val="none"/>
        </w:rPr>
      </w:pPr>
      <w:r>
        <w:rPr>
          <w:rFonts w:hint="eastAsia" w:ascii="宋体" w:hAnsi="宋体" w:cs="宋体"/>
          <w:color w:val="auto"/>
          <w:kern w:val="0"/>
          <w:szCs w:val="21"/>
          <w:highlight w:val="none"/>
        </w:rPr>
        <w:t xml:space="preserve">关于计量周期的约定： </w:t>
      </w:r>
      <w:r>
        <w:rPr>
          <w:rFonts w:hint="eastAsia" w:ascii="宋体" w:hAnsi="宋体" w:cs="宋体"/>
          <w:b/>
          <w:bCs/>
          <w:color w:val="auto"/>
          <w:szCs w:val="21"/>
          <w:highlight w:val="none"/>
          <w:u w:val="single"/>
        </w:rPr>
        <w:t xml:space="preserve">                    </w:t>
      </w:r>
      <w:r>
        <w:rPr>
          <w:rFonts w:hint="eastAsia" w:ascii="宋体" w:hAnsi="宋体" w:cs="宋体"/>
          <w:b/>
          <w:color w:val="auto"/>
          <w:kern w:val="0"/>
          <w:szCs w:val="21"/>
          <w:highlight w:val="none"/>
        </w:rPr>
        <w:t>。</w:t>
      </w:r>
    </w:p>
    <w:p w14:paraId="28686DD3">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14.3.2 进度付款审核和支付</w:t>
      </w:r>
    </w:p>
    <w:p w14:paraId="0EC7EB77">
      <w:pPr>
        <w:topLinePunct/>
        <w:spacing w:line="4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设计费：</w:t>
      </w:r>
    </w:p>
    <w:p w14:paraId="36A8AD9D">
      <w:pPr>
        <w:topLinePunct/>
        <w:spacing w:line="4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关于付款周期的约定：</w:t>
      </w:r>
    </w:p>
    <w:p w14:paraId="7B7B6BC5">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关于付款周期的约定：按节点支付 。</w:t>
      </w:r>
    </w:p>
    <w:p w14:paraId="640DFC45">
      <w:pPr>
        <w:numPr>
          <w:ilvl w:val="0"/>
          <w:numId w:val="21"/>
        </w:numPr>
        <w:topLinePunct/>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工程设计费支付方式：</w:t>
      </w:r>
    </w:p>
    <w:p w14:paraId="2695FAD2">
      <w:pPr>
        <w:numPr>
          <w:ilvl w:val="0"/>
          <w:numId w:val="0"/>
        </w:numPr>
        <w:topLinePunct/>
        <w:spacing w:line="400" w:lineRule="exact"/>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①</w:t>
      </w:r>
      <w:r>
        <w:rPr>
          <w:rFonts w:hint="eastAsia" w:ascii="宋体" w:hAnsi="宋体" w:cs="宋体"/>
          <w:b/>
          <w:bCs/>
          <w:color w:val="auto"/>
          <w:szCs w:val="21"/>
          <w:highlight w:val="none"/>
          <w:lang w:eastAsia="zh-CN"/>
        </w:rPr>
        <w:t>施工图图纸完成后需经</w:t>
      </w:r>
      <w:r>
        <w:rPr>
          <w:rFonts w:hint="eastAsia" w:ascii="宋体" w:hAnsi="宋体" w:cs="宋体"/>
          <w:b/>
          <w:bCs/>
          <w:color w:val="auto"/>
          <w:szCs w:val="21"/>
          <w:highlight w:val="none"/>
          <w:lang w:val="en-US" w:eastAsia="zh-CN"/>
        </w:rPr>
        <w:t>相关部门</w:t>
      </w:r>
      <w:r>
        <w:rPr>
          <w:rFonts w:hint="eastAsia" w:ascii="宋体" w:hAnsi="宋体" w:cs="宋体"/>
          <w:b/>
          <w:bCs/>
          <w:color w:val="auto"/>
          <w:szCs w:val="21"/>
          <w:highlight w:val="none"/>
          <w:lang w:eastAsia="zh-CN"/>
        </w:rPr>
        <w:t>审核通过</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项目开工后</w:t>
      </w:r>
      <w:r>
        <w:rPr>
          <w:rFonts w:hint="eastAsia" w:ascii="宋体" w:hAnsi="宋体" w:cs="宋体"/>
          <w:b/>
          <w:bCs/>
          <w:color w:val="auto"/>
          <w:szCs w:val="21"/>
          <w:highlight w:val="none"/>
        </w:rPr>
        <w:t>支付设计费的</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0%；</w:t>
      </w:r>
    </w:p>
    <w:p w14:paraId="47E19C05">
      <w:pPr>
        <w:pStyle w:val="46"/>
        <w:topLinePunct/>
        <w:spacing w:line="400" w:lineRule="exact"/>
        <w:ind w:left="0" w:firstLine="422" w:firstLineChars="200"/>
        <w:rPr>
          <w:rFonts w:hint="eastAsia"/>
          <w:b/>
          <w:bCs/>
          <w:color w:val="auto"/>
          <w:szCs w:val="21"/>
          <w:highlight w:val="none"/>
          <w:lang w:val="en-US"/>
        </w:rPr>
      </w:pPr>
      <w:r>
        <w:rPr>
          <w:rFonts w:hint="eastAsia"/>
          <w:b/>
          <w:bCs/>
          <w:color w:val="auto"/>
          <w:szCs w:val="21"/>
          <w:highlight w:val="none"/>
        </w:rPr>
        <w:t>②整体项目通过竣工验收</w:t>
      </w:r>
      <w:r>
        <w:rPr>
          <w:rFonts w:hint="eastAsia"/>
          <w:b/>
          <w:bCs/>
          <w:color w:val="auto"/>
          <w:szCs w:val="21"/>
          <w:highlight w:val="none"/>
          <w:lang w:eastAsia="zh-CN"/>
        </w:rPr>
        <w:t>，</w:t>
      </w:r>
      <w:r>
        <w:rPr>
          <w:rFonts w:hint="eastAsia"/>
          <w:b/>
          <w:bCs/>
          <w:color w:val="auto"/>
          <w:szCs w:val="21"/>
          <w:highlight w:val="none"/>
        </w:rPr>
        <w:t>支付至设计费的</w:t>
      </w:r>
      <w:r>
        <w:rPr>
          <w:rFonts w:hint="eastAsia"/>
          <w:b/>
          <w:bCs/>
          <w:color w:val="auto"/>
          <w:szCs w:val="21"/>
          <w:highlight w:val="none"/>
          <w:lang w:val="en-US" w:eastAsia="zh-CN"/>
        </w:rPr>
        <w:t>100</w:t>
      </w:r>
      <w:r>
        <w:rPr>
          <w:rFonts w:hint="eastAsia"/>
          <w:b/>
          <w:bCs/>
          <w:color w:val="auto"/>
          <w:szCs w:val="21"/>
          <w:highlight w:val="none"/>
          <w:lang w:val="en-US"/>
        </w:rPr>
        <w:t>%；</w:t>
      </w:r>
    </w:p>
    <w:p w14:paraId="0D744A69">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设计费支付账户：发包人向中标单位约定账户支付。</w:t>
      </w:r>
    </w:p>
    <w:p w14:paraId="71D8D4DF">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val="en-US" w:eastAsia="zh-CN"/>
        </w:rPr>
        <w:t>工程费用：</w:t>
      </w:r>
    </w:p>
    <w:p w14:paraId="6C223BD5">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关于付款周期的约定：按节点支付 。 </w:t>
      </w:r>
    </w:p>
    <w:p w14:paraId="7D62285B">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（1）合同签订完成，发包人在收到承包人申请并经发包人书面确认后10日内，支付工程费用签约合同价（不含暂列金、暂估价）的</w:t>
      </w:r>
      <w:r>
        <w:rPr>
          <w:rFonts w:hint="eastAsia" w:ascii="宋体" w:hAnsi="宋体" w:cs="宋体"/>
          <w:b/>
          <w:bCs/>
          <w:color w:val="auto"/>
          <w:szCs w:val="21"/>
          <w:highlight w:val="none"/>
          <w:lang w:val="en-US" w:eastAsia="zh-CN"/>
        </w:rPr>
        <w:t>30</w:t>
      </w:r>
      <w:r>
        <w:rPr>
          <w:rFonts w:hint="eastAsia" w:ascii="宋体" w:hAnsi="宋体" w:eastAsia="宋体" w:cs="宋体"/>
          <w:b/>
          <w:bCs/>
          <w:color w:val="auto"/>
          <w:szCs w:val="21"/>
          <w:highlight w:val="none"/>
          <w:lang w:val="en-US" w:eastAsia="zh-CN"/>
        </w:rPr>
        <w:t xml:space="preserve">%； </w:t>
      </w:r>
    </w:p>
    <w:p w14:paraId="6EEA8AA0">
      <w:pPr>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（2）项目</w:t>
      </w:r>
      <w:r>
        <w:rPr>
          <w:rFonts w:hint="eastAsia" w:ascii="宋体" w:hAnsi="宋体" w:eastAsia="宋体" w:cs="宋体"/>
          <w:b/>
          <w:bCs/>
          <w:color w:val="auto"/>
          <w:szCs w:val="21"/>
          <w:highlight w:val="none"/>
          <w:lang w:val="en-US" w:eastAsia="zh-CN"/>
        </w:rPr>
        <w:t>并通过</w:t>
      </w:r>
      <w:r>
        <w:rPr>
          <w:rFonts w:hint="eastAsia" w:ascii="宋体" w:hAnsi="宋体" w:cs="宋体"/>
          <w:b/>
          <w:bCs/>
          <w:color w:val="auto"/>
          <w:szCs w:val="21"/>
          <w:highlight w:val="none"/>
          <w:lang w:val="en-US" w:eastAsia="zh-CN"/>
        </w:rPr>
        <w:t>国网开化供电公司</w:t>
      </w:r>
      <w:r>
        <w:rPr>
          <w:rFonts w:hint="eastAsia" w:ascii="宋体" w:hAnsi="宋体" w:eastAsia="宋体" w:cs="宋体"/>
          <w:b/>
          <w:bCs/>
          <w:color w:val="auto"/>
          <w:szCs w:val="21"/>
          <w:highlight w:val="none"/>
          <w:lang w:val="en-US" w:eastAsia="zh-CN"/>
        </w:rPr>
        <w:t>预验收合格后，支付至工程费用签约合同价（不含暂列金、暂估价</w:t>
      </w:r>
      <w:r>
        <w:rPr>
          <w:rFonts w:hint="eastAsia" w:ascii="宋体" w:hAnsi="宋体" w:cs="宋体"/>
          <w:b/>
          <w:bCs/>
          <w:color w:val="auto"/>
          <w:szCs w:val="21"/>
          <w:highlight w:val="none"/>
          <w:lang w:val="en-US" w:eastAsia="zh-CN"/>
        </w:rPr>
        <w:t>）</w:t>
      </w:r>
      <w:r>
        <w:rPr>
          <w:rFonts w:hint="eastAsia" w:ascii="宋体" w:hAnsi="宋体" w:eastAsia="宋体" w:cs="宋体"/>
          <w:b/>
          <w:bCs/>
          <w:color w:val="auto"/>
          <w:szCs w:val="21"/>
          <w:highlight w:val="none"/>
          <w:lang w:val="en-US" w:eastAsia="zh-CN"/>
        </w:rPr>
        <w:t>的</w:t>
      </w:r>
      <w:r>
        <w:rPr>
          <w:rFonts w:hint="eastAsia" w:ascii="宋体" w:hAnsi="宋体" w:cs="宋体"/>
          <w:b/>
          <w:bCs/>
          <w:color w:val="auto"/>
          <w:szCs w:val="21"/>
          <w:highlight w:val="none"/>
          <w:lang w:val="en-US" w:eastAsia="zh-CN"/>
        </w:rPr>
        <w:t>85</w:t>
      </w:r>
      <w:r>
        <w:rPr>
          <w:rFonts w:hint="eastAsia" w:ascii="宋体" w:hAnsi="宋体" w:eastAsia="宋体" w:cs="宋体"/>
          <w:b/>
          <w:bCs/>
          <w:color w:val="auto"/>
          <w:szCs w:val="21"/>
          <w:highlight w:val="none"/>
          <w:lang w:val="en-US" w:eastAsia="zh-CN"/>
        </w:rPr>
        <w:t>%；</w:t>
      </w:r>
    </w:p>
    <w:p w14:paraId="74404B24">
      <w:pPr>
        <w:topLinePunct/>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工程竣工验收合格、竣工结算经审核完毕各方签字盖章确认，办理完毕相关工程档案资料存档移交、签署竣工结算证书后30日内支付至工程费用审定结算价的98.5%；剩余1.5%作为质量保证金，在工程竣工验收满二年后退还（无息）并配合办理资产移交。</w:t>
      </w:r>
    </w:p>
    <w:p w14:paraId="6CE79FB4">
      <w:pPr>
        <w:topLinePunct/>
        <w:spacing w:line="400" w:lineRule="exact"/>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（4）经审计，工程核减额超过送审造价5%的，所有审计费中的效益费由承包人支付，在支付工程结算款时直接扣除。</w:t>
      </w:r>
    </w:p>
    <w:p w14:paraId="430F8D89">
      <w:pPr>
        <w:spacing w:line="400" w:lineRule="exact"/>
        <w:ind w:firstLine="422" w:firstLineChars="200"/>
        <w:rPr>
          <w:rFonts w:ascii="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4</w:t>
      </w:r>
      <w:r>
        <w:rPr>
          <w:rFonts w:ascii="宋体" w:hAnsi="宋体" w:cs="宋体"/>
          <w:b/>
          <w:bCs/>
          <w:color w:val="auto"/>
          <w:szCs w:val="21"/>
          <w:highlight w:val="none"/>
        </w:rPr>
        <w:t xml:space="preserve">.3.3 </w:t>
      </w:r>
      <w:r>
        <w:rPr>
          <w:rFonts w:hint="eastAsia" w:ascii="宋体" w:hAnsi="宋体" w:cs="宋体"/>
          <w:b/>
          <w:bCs/>
          <w:color w:val="auto"/>
          <w:szCs w:val="21"/>
          <w:highlight w:val="none"/>
        </w:rPr>
        <w:t>根</w:t>
      </w:r>
      <w:r>
        <w:rPr>
          <w:rFonts w:hint="eastAsia" w:ascii="宋体" w:hAnsi="宋体"/>
          <w:b/>
          <w:bCs/>
          <w:color w:val="auto"/>
          <w:szCs w:val="21"/>
          <w:highlight w:val="none"/>
        </w:rPr>
        <w:t>据《条例》规定，人工费拨付周期不得超过</w:t>
      </w:r>
      <w:r>
        <w:rPr>
          <w:rFonts w:ascii="宋体" w:hAnsi="宋体"/>
          <w:b/>
          <w:bCs/>
          <w:color w:val="auto"/>
          <w:szCs w:val="21"/>
          <w:highlight w:val="none"/>
        </w:rPr>
        <w:t>1</w:t>
      </w:r>
      <w:r>
        <w:rPr>
          <w:rFonts w:hint="eastAsia" w:ascii="宋体" w:hAnsi="宋体"/>
          <w:b/>
          <w:bCs/>
          <w:color w:val="auto"/>
          <w:szCs w:val="21"/>
          <w:highlight w:val="none"/>
        </w:rPr>
        <w:t>个月，并由建设单位将人工费用及时足额拨付至农民工工资专用账户。</w:t>
      </w:r>
    </w:p>
    <w:p w14:paraId="3E684483">
      <w:pPr>
        <w:spacing w:line="400" w:lineRule="exact"/>
        <w:ind w:firstLine="422" w:firstLineChars="200"/>
        <w:rPr>
          <w:rFonts w:ascii="宋体" w:hAnsi="宋体"/>
          <w:b/>
          <w:bCs/>
          <w:color w:val="auto"/>
          <w:szCs w:val="21"/>
          <w:highlight w:val="none"/>
        </w:rPr>
      </w:pPr>
      <w:r>
        <w:rPr>
          <w:rFonts w:hint="eastAsia" w:ascii="宋体" w:hAnsi="宋体"/>
          <w:b/>
          <w:bCs/>
          <w:color w:val="auto"/>
          <w:szCs w:val="21"/>
          <w:highlight w:val="none"/>
        </w:rPr>
        <w:t>（一）工资性工程进度款。开工建设后，建设单位应将每月工资性工程进度款</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万元在每月日前足额拨付到工资专用账户。</w:t>
      </w:r>
    </w:p>
    <w:p w14:paraId="03A63FB3">
      <w:pPr>
        <w:pStyle w:val="46"/>
        <w:tabs>
          <w:tab w:val="left" w:pos="105"/>
          <w:tab w:val="left" w:pos="1260"/>
          <w:tab w:val="left" w:pos="1573"/>
        </w:tabs>
        <w:wordWrap w:val="0"/>
        <w:spacing w:line="400" w:lineRule="exact"/>
        <w:ind w:left="420" w:leftChars="200" w:firstLine="0"/>
        <w:rPr>
          <w:rFonts w:hint="eastAsia"/>
          <w:color w:val="auto"/>
          <w:szCs w:val="21"/>
          <w:highlight w:val="none"/>
        </w:rPr>
      </w:pPr>
      <w:r>
        <w:rPr>
          <w:rFonts w:hint="eastAsia"/>
          <w:color w:val="auto"/>
          <w:szCs w:val="21"/>
          <w:highlight w:val="none"/>
          <w:lang w:val="en-US"/>
        </w:rPr>
        <w:t>14.4</w:t>
      </w:r>
      <w:r>
        <w:rPr>
          <w:rFonts w:hint="eastAsia"/>
          <w:color w:val="auto"/>
          <w:szCs w:val="21"/>
          <w:highlight w:val="none"/>
        </w:rPr>
        <w:t>付款计划表</w:t>
      </w:r>
    </w:p>
    <w:p w14:paraId="70CF1F00">
      <w:pPr>
        <w:pStyle w:val="46"/>
        <w:tabs>
          <w:tab w:val="left" w:pos="105"/>
          <w:tab w:val="left" w:pos="1260"/>
          <w:tab w:val="left" w:pos="1794"/>
        </w:tabs>
        <w:wordWrap w:val="0"/>
        <w:spacing w:line="400" w:lineRule="exact"/>
        <w:ind w:left="420" w:leftChars="200" w:firstLine="0"/>
        <w:rPr>
          <w:rFonts w:hint="eastAsia"/>
          <w:color w:val="auto"/>
          <w:szCs w:val="21"/>
          <w:highlight w:val="none"/>
        </w:rPr>
      </w:pPr>
      <w:r>
        <w:rPr>
          <w:rFonts w:hint="eastAsia"/>
          <w:color w:val="auto"/>
          <w:szCs w:val="21"/>
          <w:highlight w:val="none"/>
          <w:lang w:val="en-US"/>
        </w:rPr>
        <w:t>14.4.1</w:t>
      </w:r>
      <w:r>
        <w:rPr>
          <w:rFonts w:hint="eastAsia"/>
          <w:color w:val="auto"/>
          <w:szCs w:val="21"/>
          <w:highlight w:val="none"/>
        </w:rPr>
        <w:t>付款计划表的编制要求：</w:t>
      </w:r>
      <w:r>
        <w:rPr>
          <w:rFonts w:hint="eastAsia"/>
          <w:color w:val="auto"/>
          <w:szCs w:val="21"/>
          <w:highlight w:val="none"/>
          <w:u w:val="single"/>
        </w:rPr>
        <w:t>按发包人要求</w:t>
      </w:r>
      <w:r>
        <w:rPr>
          <w:rFonts w:hint="eastAsia"/>
          <w:color w:val="auto"/>
          <w:szCs w:val="21"/>
          <w:highlight w:val="none"/>
        </w:rPr>
        <w:t>。</w:t>
      </w:r>
    </w:p>
    <w:p w14:paraId="4044BCD2">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rPr>
        <w:t>付款计划表的编制与审批</w:t>
      </w:r>
    </w:p>
    <w:p w14:paraId="69D7C1B1">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rPr>
        <w:t>付款计划表的编制：</w:t>
      </w:r>
      <w:r>
        <w:rPr>
          <w:rFonts w:hint="eastAsia" w:cs="宋体"/>
          <w:color w:val="auto"/>
          <w:sz w:val="21"/>
          <w:szCs w:val="21"/>
          <w:highlight w:val="none"/>
          <w:u w:val="single"/>
        </w:rPr>
        <w:t>按发包人要求</w:t>
      </w:r>
      <w:r>
        <w:rPr>
          <w:rFonts w:hint="eastAsia" w:cs="宋体"/>
          <w:color w:val="auto"/>
          <w:sz w:val="21"/>
          <w:szCs w:val="21"/>
          <w:highlight w:val="none"/>
        </w:rPr>
        <w:t>。</w:t>
      </w:r>
    </w:p>
    <w:p w14:paraId="52552EB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14.5 竣工结算</w:t>
      </w:r>
    </w:p>
    <w:p w14:paraId="0918A833">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14.5.1 竣工结算申请</w:t>
      </w:r>
    </w:p>
    <w:p w14:paraId="7F64BF8C">
      <w:pPr>
        <w:pStyle w:val="9"/>
        <w:keepNext w:val="0"/>
        <w:keepLines w:val="0"/>
        <w:pageBreakBefore w:val="0"/>
        <w:widowControl w:val="0"/>
        <w:kinsoku/>
        <w:wordWrap/>
        <w:overflowPunct/>
        <w:autoSpaceDE/>
        <w:autoSpaceDN/>
        <w:bidi w:val="0"/>
        <w:adjustRightInd/>
        <w:snapToGrid/>
        <w:spacing w:line="400" w:lineRule="exact"/>
        <w:textAlignment w:val="auto"/>
        <w:rPr>
          <w:rFonts w:hint="eastAsia" w:ascii="宋体" w:hAnsi="宋体" w:cs="宋体"/>
          <w:color w:val="auto"/>
          <w:szCs w:val="21"/>
          <w:highlight w:val="none"/>
          <w:u w:val="single"/>
        </w:rPr>
      </w:pPr>
      <w:r>
        <w:rPr>
          <w:rFonts w:hint="eastAsia" w:ascii="宋体" w:hAnsi="宋体" w:cs="宋体"/>
          <w:color w:val="auto"/>
          <w:szCs w:val="21"/>
          <w:highlight w:val="none"/>
        </w:rPr>
        <w:t>承包人提交竣工结算申请的时间：</w:t>
      </w:r>
      <w:r>
        <w:rPr>
          <w:rFonts w:hint="eastAsia" w:ascii="宋体" w:hAnsi="宋体" w:cs="宋体"/>
          <w:color w:val="auto"/>
          <w:szCs w:val="21"/>
          <w:highlight w:val="none"/>
          <w:u w:val="single"/>
        </w:rPr>
        <w:t>承包人在完成合同范围内及联系单的全部施工内容，且通过各方责任主体竣工验收合格后60日内，向发包人和监理单位提交竣工结算申请单，并提交完整的工程结算资料一套。超过60日未提交竣工结算资料，经发包人催告后28日，承包人还不提交竣工结算资料的，发包人可根据自有资料办理竣工结算手续，可视为承包人认可竣工结算结果 。发包人收到结算审计报告初稿后，承包人拒不配合对账也不确认审计结果的，发包人书面函发出14日内视为认可竣工结算结果。</w:t>
      </w:r>
    </w:p>
    <w:p w14:paraId="5842CE73">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竣工结算申请的资料清单和份数：</w:t>
      </w:r>
      <w:r>
        <w:rPr>
          <w:rFonts w:hint="eastAsia" w:ascii="宋体" w:hAnsi="宋体" w:cs="宋体"/>
          <w:color w:val="auto"/>
          <w:szCs w:val="21"/>
          <w:highlight w:val="none"/>
          <w:u w:val="single"/>
        </w:rPr>
        <w:t xml:space="preserve"> 按发包人要求 </w:t>
      </w:r>
      <w:r>
        <w:rPr>
          <w:rFonts w:hint="eastAsia" w:ascii="宋体" w:hAnsi="宋体" w:cs="宋体"/>
          <w:color w:val="auto"/>
          <w:szCs w:val="21"/>
          <w:highlight w:val="none"/>
        </w:rPr>
        <w:t>。</w:t>
      </w:r>
    </w:p>
    <w:p w14:paraId="143E8B5B">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竣工结算申请单的内容应包括：</w:t>
      </w:r>
      <w:r>
        <w:rPr>
          <w:rFonts w:hint="eastAsia" w:ascii="宋体" w:hAnsi="宋体" w:cs="宋体"/>
          <w:color w:val="auto"/>
          <w:szCs w:val="21"/>
          <w:highlight w:val="none"/>
          <w:u w:val="single"/>
        </w:rPr>
        <w:t>包括但不限于送审资料清单、工程结算书、竣工图纸、工程联系单目录、工程量计算稿</w:t>
      </w:r>
      <w:r>
        <w:rPr>
          <w:rFonts w:hint="eastAsia" w:ascii="宋体" w:hAnsi="宋体" w:cs="宋体"/>
          <w:color w:val="auto"/>
          <w:szCs w:val="21"/>
          <w:highlight w:val="none"/>
        </w:rPr>
        <w:t>。</w:t>
      </w:r>
    </w:p>
    <w:p w14:paraId="5EFAD8E8">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14.5.2 竣工结算审核</w:t>
      </w:r>
    </w:p>
    <w:p w14:paraId="6FC33524">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color w:val="auto"/>
          <w:szCs w:val="21"/>
          <w:highlight w:val="none"/>
          <w:u w:val="single"/>
        </w:rPr>
        <w:t>监理单位应在收到竣工结算申请单和结算资料后，14日内完成资料核查确认并报发包人。发包人在收到经监理单位提交的经核查的竣工结算申请单和结算资料后，14日内完成资料完整性复核，并按规定程序报政府指定部门审核（或审计）。结算审核（或审计）时间以政府部门相关规定为准。因承包人资料不完整等原因造成时间延误由承包人自行承担所有责任</w:t>
      </w:r>
      <w:r>
        <w:rPr>
          <w:rFonts w:hint="eastAsia" w:ascii="宋体" w:hAnsi="宋体" w:cs="宋体"/>
          <w:color w:val="auto"/>
          <w:szCs w:val="21"/>
          <w:highlight w:val="none"/>
        </w:rPr>
        <w:t>。</w:t>
      </w:r>
    </w:p>
    <w:p w14:paraId="533BEF1E">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color w:val="auto"/>
          <w:szCs w:val="21"/>
          <w:highlight w:val="none"/>
          <w:u w:val="single"/>
        </w:rPr>
        <w:t xml:space="preserve">承包人对发包人签认的结算价有异议的，发包人可先支付承包人无异议部分结算款。异议部分重新进行复核或按照争议解决约定处理 </w:t>
      </w:r>
      <w:r>
        <w:rPr>
          <w:rFonts w:hint="eastAsia" w:ascii="宋体" w:hAnsi="宋体" w:cs="宋体"/>
          <w:color w:val="auto"/>
          <w:szCs w:val="21"/>
          <w:highlight w:val="none"/>
        </w:rPr>
        <w:t>。</w:t>
      </w:r>
    </w:p>
    <w:p w14:paraId="0D8551A8">
      <w:pPr>
        <w:keepNext w:val="0"/>
        <w:keepLines w:val="0"/>
        <w:pageBreakBefore w:val="0"/>
        <w:widowControl/>
        <w:kinsoku w:val="0"/>
        <w:overflowPunct/>
        <w:autoSpaceDE w:val="0"/>
        <w:autoSpaceDN w:val="0"/>
        <w:bidi w:val="0"/>
        <w:adjustRightInd w:val="0"/>
        <w:snapToGrid w:val="0"/>
        <w:spacing w:line="400" w:lineRule="exact"/>
        <w:jc w:val="left"/>
        <w:textAlignment w:val="baseline"/>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　　</w:t>
      </w: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14.6质量保证金</w:t>
      </w:r>
    </w:p>
    <w:p w14:paraId="317E955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14.6.1 承包人提供质量保证金的方式</w:t>
      </w:r>
    </w:p>
    <w:p w14:paraId="7C2A52E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质量保证金采用以下第</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w:t>
      </w:r>
      <w:r>
        <w:rPr>
          <w:rFonts w:hint="eastAsia" w:ascii="宋体" w:hAnsi="宋体" w:cs="宋体"/>
          <w:b/>
          <w:snapToGrid w:val="0"/>
          <w:color w:val="000000" w:themeColor="text1"/>
          <w:kern w:val="0"/>
          <w:szCs w:val="21"/>
          <w:highlight w:val="none"/>
          <w:u w:val="single"/>
          <w:lang w:val="en-US" w:eastAsia="zh-CN"/>
          <w14:textFill>
            <w14:solidFill>
              <w14:schemeClr w14:val="tx1"/>
            </w14:solidFill>
          </w14:textFill>
        </w:rPr>
        <w:t>2</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种方式：</w:t>
      </w:r>
    </w:p>
    <w:p w14:paraId="5C821319">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（1）质量保证金、保函，金额为</w:t>
      </w: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w:t>
      </w:r>
      <w:r>
        <w:rPr>
          <w:rFonts w:hint="eastAsia" w:ascii="宋体" w:hAnsi="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w:t>
      </w:r>
    </w:p>
    <w:p w14:paraId="073E130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cs="宋体"/>
          <w:color w:val="auto"/>
          <w:kern w:val="0"/>
          <w:szCs w:val="21"/>
          <w:highlight w:val="none"/>
          <w:u w:val="single"/>
        </w:rPr>
        <w:t>1.5%</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的工程款；</w:t>
      </w:r>
    </w:p>
    <w:p w14:paraId="72A99E7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（3）其他方式：</w:t>
      </w:r>
      <w:r>
        <w:rPr>
          <w:rFonts w:hint="eastAsia" w:ascii="宋体" w:hAnsi="宋体" w:eastAsia="宋体" w:cs="宋体"/>
          <w:snapToGrid w:val="0"/>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4F848E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关于质量保证金的补充约定：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质量保证金退还时不计息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5FF2A4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14.6.2 质量保证金的预留</w:t>
      </w:r>
    </w:p>
    <w:p w14:paraId="6DC6E36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质量保证金的预留采取以下第</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(2)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种方式：</w:t>
      </w:r>
    </w:p>
    <w:p w14:paraId="3C4407F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 在支付工程进度款时逐次预留的质量保证金的比例：</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，在此情形下，质量保证金的计算基数不包括预付款的支付、扣回以及价格调整的金额；</w:t>
      </w:r>
    </w:p>
    <w:p w14:paraId="6766948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 工程竣工结算时一次性预留专用合同条件第14.6.1项第(</w:t>
      </w:r>
      <w:r>
        <w:rPr>
          <w:rFonts w:hint="eastAsia" w:ascii="宋体" w:hAnsi="宋体" w:cs="宋体"/>
          <w:snapToGrid w:val="0"/>
          <w:color w:val="000000" w:themeColor="text1"/>
          <w:kern w:val="0"/>
          <w:szCs w:val="21"/>
          <w:highlight w:val="none"/>
          <w:lang w:val="en-US" w:eastAsia="zh-CN"/>
          <w14:textFill>
            <w14:solidFill>
              <w14:schemeClr w14:val="tx1"/>
            </w14:solidFill>
          </w14:textFill>
        </w:rPr>
        <w:t>2</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)目约定的工程款预留比例的质量保证金；</w:t>
      </w:r>
    </w:p>
    <w:p w14:paraId="78C9DD6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 xml:space="preserve">(3) 其他预留方式: </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B27A7F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关于质量保证金的补充约定：</w:t>
      </w:r>
      <w:r>
        <w:rPr>
          <w:rFonts w:hint="eastAsia" w:ascii="宋体" w:hAnsi="宋体" w:cs="宋体"/>
          <w:strike w:val="0"/>
          <w:snapToGrid w:val="0"/>
          <w:color w:val="000000" w:themeColor="text1"/>
          <w:kern w:val="0"/>
          <w:sz w:val="21"/>
          <w:szCs w:val="21"/>
          <w:highlight w:val="none"/>
          <w:u w:val="single"/>
          <w:shd w:val="clear" w:color="auto" w:fill="auto"/>
          <w:lang w:val="en-US" w:eastAsia="zh-CN"/>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A0D9A06">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14.</w:t>
      </w:r>
      <w:r>
        <w:rPr>
          <w:rFonts w:hint="eastAsia" w:ascii="宋体" w:hAnsi="宋体" w:cs="宋体"/>
          <w:color w:val="auto"/>
          <w:kern w:val="1"/>
          <w:szCs w:val="21"/>
          <w:highlight w:val="none"/>
          <w:lang w:val="en-US" w:eastAsia="zh-CN"/>
        </w:rPr>
        <w:t>7</w:t>
      </w:r>
      <w:r>
        <w:rPr>
          <w:rFonts w:hint="eastAsia" w:ascii="宋体" w:hAnsi="宋体" w:cs="宋体"/>
          <w:color w:val="auto"/>
          <w:kern w:val="1"/>
          <w:szCs w:val="21"/>
          <w:highlight w:val="none"/>
        </w:rPr>
        <w:t>竣工结算</w:t>
      </w:r>
    </w:p>
    <w:p w14:paraId="4524BAC8">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14.</w:t>
      </w:r>
      <w:r>
        <w:rPr>
          <w:rFonts w:hint="eastAsia" w:ascii="宋体" w:hAnsi="宋体" w:cs="宋体"/>
          <w:color w:val="auto"/>
          <w:kern w:val="1"/>
          <w:szCs w:val="21"/>
          <w:highlight w:val="none"/>
          <w:lang w:val="en-US" w:eastAsia="zh-CN"/>
        </w:rPr>
        <w:t>7</w:t>
      </w:r>
      <w:r>
        <w:rPr>
          <w:rFonts w:hint="eastAsia" w:ascii="宋体" w:hAnsi="宋体" w:cs="宋体"/>
          <w:color w:val="auto"/>
          <w:kern w:val="1"/>
          <w:szCs w:val="21"/>
          <w:highlight w:val="none"/>
        </w:rPr>
        <w:t>.1竣工付款申请单</w:t>
      </w:r>
    </w:p>
    <w:p w14:paraId="2134814F">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承包人提交竣工付款申请单的份数：</w:t>
      </w:r>
      <w:r>
        <w:rPr>
          <w:rFonts w:hint="eastAsia" w:ascii="宋体" w:hAnsi="宋体" w:cs="宋体"/>
          <w:b/>
          <w:color w:val="auto"/>
          <w:kern w:val="1"/>
          <w:szCs w:val="21"/>
          <w:highlight w:val="none"/>
          <w:u w:val="single"/>
        </w:rPr>
        <w:t xml:space="preserve">一式五份      </w:t>
      </w:r>
      <w:r>
        <w:rPr>
          <w:rFonts w:hint="eastAsia" w:ascii="宋体" w:hAnsi="宋体" w:cs="宋体"/>
          <w:color w:val="auto"/>
          <w:kern w:val="1"/>
          <w:szCs w:val="21"/>
          <w:highlight w:val="none"/>
        </w:rPr>
        <w:t>。</w:t>
      </w:r>
    </w:p>
    <w:p w14:paraId="3F577C99">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承包人提交竣工付款申请单的期限：</w:t>
      </w:r>
      <w:r>
        <w:rPr>
          <w:rFonts w:hint="eastAsia" w:ascii="宋体" w:hAnsi="宋体" w:cs="宋体"/>
          <w:b/>
          <w:color w:val="auto"/>
          <w:kern w:val="1"/>
          <w:szCs w:val="21"/>
          <w:highlight w:val="none"/>
          <w:u w:val="single"/>
        </w:rPr>
        <w:t xml:space="preserve">工程竣工验收合格后14天内  </w:t>
      </w:r>
      <w:r>
        <w:rPr>
          <w:rFonts w:hint="eastAsia" w:ascii="宋体" w:hAnsi="宋体" w:cs="宋体"/>
          <w:bCs/>
          <w:color w:val="auto"/>
          <w:kern w:val="1"/>
          <w:szCs w:val="21"/>
          <w:highlight w:val="none"/>
        </w:rPr>
        <w:t>。</w:t>
      </w:r>
    </w:p>
    <w:p w14:paraId="5B576A88">
      <w:pPr>
        <w:spacing w:line="400" w:lineRule="exac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竣工付款申请单的内容：</w:t>
      </w:r>
      <w:r>
        <w:rPr>
          <w:rFonts w:hint="eastAsia" w:ascii="宋体" w:hAnsi="宋体" w:cs="宋体"/>
          <w:b/>
          <w:color w:val="auto"/>
          <w:kern w:val="1"/>
          <w:szCs w:val="21"/>
          <w:highlight w:val="none"/>
          <w:u w:val="single"/>
        </w:rPr>
        <w:t xml:space="preserve"> 按相关规定执行    </w:t>
      </w:r>
      <w:r>
        <w:rPr>
          <w:rFonts w:hint="eastAsia" w:ascii="宋体" w:hAnsi="宋体" w:cs="宋体"/>
          <w:color w:val="auto"/>
          <w:kern w:val="1"/>
          <w:szCs w:val="21"/>
          <w:highlight w:val="none"/>
        </w:rPr>
        <w:t>。</w:t>
      </w:r>
    </w:p>
    <w:p w14:paraId="60740CB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 最终结清</w:t>
      </w:r>
    </w:p>
    <w:p w14:paraId="46871158">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 最终结清申请单</w:t>
      </w:r>
    </w:p>
    <w:p w14:paraId="415D1CC6">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当事人双方关于最终结清申请的其他约定：</w:t>
      </w:r>
      <w:r>
        <w:rPr>
          <w:rFonts w:hint="eastAsia" w:ascii="宋体" w:hAnsi="宋体" w:cs="宋体"/>
          <w:color w:val="auto"/>
          <w:szCs w:val="21"/>
          <w:highlight w:val="none"/>
          <w:u w:val="single"/>
        </w:rPr>
        <w:t xml:space="preserve"> 承包人提交最终结清申请单的份数为一式五份   </w:t>
      </w:r>
      <w:r>
        <w:rPr>
          <w:rFonts w:hint="eastAsia" w:ascii="宋体" w:hAnsi="宋体" w:cs="宋体"/>
          <w:color w:val="auto"/>
          <w:szCs w:val="21"/>
          <w:highlight w:val="none"/>
        </w:rPr>
        <w:t>。</w:t>
      </w:r>
    </w:p>
    <w:p w14:paraId="0271F77B">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 最终结清证书和支付</w:t>
      </w:r>
    </w:p>
    <w:p w14:paraId="35881250">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当事人双方关于最终结清支付的其他约定：</w:t>
      </w:r>
      <w:r>
        <w:rPr>
          <w:rFonts w:hint="eastAsia" w:ascii="宋体" w:hAnsi="宋体" w:cs="宋体"/>
          <w:color w:val="auto"/>
          <w:szCs w:val="21"/>
          <w:highlight w:val="none"/>
          <w:u w:val="single"/>
        </w:rPr>
        <w:t xml:space="preserve"> 缺陷责任期终止，质量缺陷责任期满且双方无异议后14天内。</w:t>
      </w:r>
    </w:p>
    <w:p w14:paraId="19516F13">
      <w:pPr>
        <w:topLinePunct/>
        <w:spacing w:line="400" w:lineRule="exact"/>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第15条 违约</w:t>
      </w:r>
    </w:p>
    <w:p w14:paraId="55AAD5C3">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 发包人违约</w:t>
      </w:r>
    </w:p>
    <w:p w14:paraId="6AD912C7">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15.1.1 发包人违约的情形</w:t>
      </w:r>
    </w:p>
    <w:p w14:paraId="0376DFAF">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发包人违约的其他情形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A14BF08">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15.1.3 发包人违约的责任</w:t>
      </w:r>
    </w:p>
    <w:p w14:paraId="6A44C6A5">
      <w:pPr>
        <w:pStyle w:val="10"/>
        <w:tabs>
          <w:tab w:val="left" w:pos="105"/>
          <w:tab w:val="left" w:pos="1260"/>
          <w:tab w:val="left" w:pos="5859"/>
        </w:tabs>
        <w:wordWrap w:val="0"/>
        <w:spacing w:line="400" w:lineRule="exact"/>
        <w:ind w:firstLine="420" w:firstLineChars="200"/>
        <w:jc w:val="both"/>
        <w:rPr>
          <w:rFonts w:hint="eastAsia" w:cs="宋体"/>
          <w:color w:val="auto"/>
          <w:sz w:val="21"/>
          <w:szCs w:val="21"/>
          <w:highlight w:val="none"/>
        </w:rPr>
      </w:pPr>
      <w:r>
        <w:rPr>
          <w:rFonts w:hint="eastAsia" w:cs="宋体"/>
          <w:color w:val="auto"/>
          <w:sz w:val="21"/>
          <w:szCs w:val="21"/>
          <w:highlight w:val="none"/>
        </w:rPr>
        <w:t>发包人违约责任的承担方式和计算方法：</w:t>
      </w:r>
      <w:r>
        <w:rPr>
          <w:rFonts w:hint="eastAsia" w:cs="宋体"/>
          <w:color w:val="auto"/>
          <w:sz w:val="21"/>
          <w:szCs w:val="21"/>
          <w:highlight w:val="none"/>
          <w:u w:val="single"/>
        </w:rPr>
        <w:t xml:space="preserve">  /</w:t>
      </w:r>
      <w:r>
        <w:rPr>
          <w:rFonts w:hint="eastAsia" w:cs="宋体"/>
          <w:color w:val="auto"/>
          <w:sz w:val="21"/>
          <w:szCs w:val="21"/>
          <w:highlight w:val="none"/>
          <w:u w:val="single"/>
        </w:rPr>
        <w:tab/>
      </w:r>
      <w:r>
        <w:rPr>
          <w:rFonts w:hint="eastAsia" w:cs="宋体"/>
          <w:color w:val="auto"/>
          <w:sz w:val="21"/>
          <w:szCs w:val="21"/>
          <w:highlight w:val="none"/>
        </w:rPr>
        <w:t>。</w:t>
      </w:r>
    </w:p>
    <w:p w14:paraId="63C27206">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 承包人违约</w:t>
      </w:r>
    </w:p>
    <w:p w14:paraId="59B6DCE0">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15.2.1 承包人违约的情形</w:t>
      </w:r>
    </w:p>
    <w:p w14:paraId="2862DA4A">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承包人违约的其他情形：</w:t>
      </w:r>
    </w:p>
    <w:p w14:paraId="47CE469A">
      <w:pPr>
        <w:topLinePunct/>
        <w:spacing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（1）承包人的机械设备、项目班子未按投标承诺及时到位；</w:t>
      </w:r>
    </w:p>
    <w:p w14:paraId="26FC4027">
      <w:pPr>
        <w:topLinePunct/>
        <w:spacing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（2）本工程在实施过程中，如承包人的施工队伍素质、力量、现场管理班子、现场安全文明施工不符合投标书的承诺，造成现场管理混乱、工程质量和进度达不到投标所承诺的要求；</w:t>
      </w:r>
    </w:p>
    <w:p w14:paraId="263D6A24">
      <w:pPr>
        <w:topLinePunct/>
        <w:spacing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（3）承包人允许其他人挂靠经营、私自转包；</w:t>
      </w:r>
    </w:p>
    <w:p w14:paraId="333B52E8">
      <w:pPr>
        <w:topLinePunct/>
        <w:spacing w:line="400" w:lineRule="exact"/>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u w:val="single"/>
        </w:rPr>
        <w:t>（4）承包人未达到投标时所承诺的诚信与技术标准。</w:t>
      </w:r>
    </w:p>
    <w:p w14:paraId="0648D9D9">
      <w:pPr>
        <w:topLinePunct/>
        <w:spacing w:line="400" w:lineRule="exact"/>
        <w:ind w:left="399" w:leftChars="190" w:firstLine="0" w:firstLineChars="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u w:val="single"/>
        </w:rPr>
        <w:t>（5）承包人采购、使用了不合格的材料设备或不符合招标文件和施工图要求的材料设备。</w:t>
      </w:r>
    </w:p>
    <w:p w14:paraId="25D1992E">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15.2.2 通知改正</w:t>
      </w:r>
    </w:p>
    <w:p w14:paraId="03121F56">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工程师通知承包人改正的合理期限是：</w:t>
      </w:r>
      <w:r>
        <w:rPr>
          <w:rFonts w:hint="eastAsia" w:ascii="宋体" w:hAnsi="宋体" w:cs="宋体"/>
          <w:color w:val="auto"/>
          <w:szCs w:val="21"/>
          <w:highlight w:val="none"/>
          <w:u w:val="single"/>
        </w:rPr>
        <w:t xml:space="preserve">  按发包人要求   </w:t>
      </w:r>
      <w:r>
        <w:rPr>
          <w:rFonts w:hint="eastAsia" w:ascii="宋体" w:hAnsi="宋体" w:cs="宋体"/>
          <w:color w:val="auto"/>
          <w:szCs w:val="21"/>
          <w:highlight w:val="none"/>
        </w:rPr>
        <w:t>。</w:t>
      </w:r>
    </w:p>
    <w:p w14:paraId="2BC67BAC">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15.2.3 承包人违约的责任</w:t>
      </w:r>
    </w:p>
    <w:p w14:paraId="614E54E9">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承包人违约责任的承担方式和计算方法：</w:t>
      </w:r>
    </w:p>
    <w:p w14:paraId="46A9A07B">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rPr>
        <w:t>A、开工前承包人提供的项目管理班子成员须经发包人审核同意。项目经理、技术负责人必须符合投标书中的承诺，其他管理力量的配备不得低于投标文件中的承诺，否则视作承包人违约，发包人</w:t>
      </w:r>
      <w:r>
        <w:rPr>
          <w:rFonts w:hint="eastAsia" w:cs="宋体"/>
          <w:color w:val="auto"/>
          <w:sz w:val="21"/>
          <w:szCs w:val="21"/>
          <w:highlight w:val="none"/>
          <w:lang w:val="en-US" w:eastAsia="zh-CN"/>
        </w:rPr>
        <w:t>有权</w:t>
      </w:r>
      <w:r>
        <w:rPr>
          <w:rFonts w:hint="eastAsia" w:cs="宋体"/>
          <w:color w:val="auto"/>
          <w:sz w:val="21"/>
          <w:szCs w:val="21"/>
          <w:highlight w:val="none"/>
        </w:rPr>
        <w:t>没收</w:t>
      </w:r>
      <w:r>
        <w:rPr>
          <w:rFonts w:hint="eastAsia" w:cs="宋体"/>
          <w:color w:val="auto"/>
          <w:sz w:val="21"/>
          <w:szCs w:val="21"/>
          <w:highlight w:val="none"/>
          <w:lang w:val="en-US" w:eastAsia="zh-CN"/>
        </w:rPr>
        <w:t>部分或全部</w:t>
      </w:r>
      <w:r>
        <w:rPr>
          <w:rFonts w:hint="eastAsia" w:cs="宋体"/>
          <w:color w:val="auto"/>
          <w:sz w:val="21"/>
          <w:szCs w:val="21"/>
          <w:highlight w:val="none"/>
        </w:rPr>
        <w:t>履约保证金。</w:t>
      </w:r>
    </w:p>
    <w:p w14:paraId="30C0AC00">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rPr>
        <w:t>B、承包人要积极配合业主单位做好民主促民生工作，如遇外界阻扰，承包人应及时协调处理，须注意现场的安全、文明施工，协调和保持好与周边村民、村委员、街道的良好关系，避免产生投诉。如因承包人原因造成纠纷产生损坏赔偿时，由承包人负责解决并承担相应费用若工程施工期内，因承包人原因每发生一起媒体曝光、信访投诉等事件的，支付发包人违约金50000元/次。</w:t>
      </w:r>
    </w:p>
    <w:p w14:paraId="71CD5A1C">
      <w:pPr>
        <w:pStyle w:val="10"/>
        <w:tabs>
          <w:tab w:val="left" w:pos="105"/>
          <w:tab w:val="left" w:pos="1260"/>
        </w:tabs>
        <w:wordWrap w:val="0"/>
        <w:spacing w:line="400" w:lineRule="exact"/>
        <w:ind w:firstLine="420" w:firstLineChars="200"/>
        <w:jc w:val="left"/>
        <w:rPr>
          <w:rFonts w:hint="eastAsia" w:cs="宋体"/>
          <w:color w:val="auto"/>
          <w:sz w:val="21"/>
          <w:szCs w:val="21"/>
          <w:highlight w:val="none"/>
          <w:lang w:val="en-US" w:eastAsia="zh-CN"/>
        </w:rPr>
      </w:pPr>
      <w:r>
        <w:rPr>
          <w:rFonts w:hint="eastAsia" w:cs="宋体"/>
          <w:color w:val="auto"/>
          <w:sz w:val="21"/>
          <w:szCs w:val="21"/>
          <w:highlight w:val="none"/>
          <w:lang w:val="en-US" w:eastAsia="zh-CN"/>
        </w:rPr>
        <w:t>C、发现承包人允许其他人挂靠经营、私自转包，所有履约担保归发包人，同时赔偿发包人损失，并责令退出工地。</w:t>
      </w:r>
    </w:p>
    <w:p w14:paraId="021AFCBE">
      <w:pPr>
        <w:pStyle w:val="10"/>
        <w:tabs>
          <w:tab w:val="left" w:pos="105"/>
          <w:tab w:val="left" w:pos="1260"/>
        </w:tabs>
        <w:wordWrap w:val="0"/>
        <w:spacing w:line="400" w:lineRule="exact"/>
        <w:ind w:firstLine="420" w:firstLineChars="200"/>
        <w:jc w:val="left"/>
        <w:rPr>
          <w:rFonts w:hint="eastAsia" w:cs="宋体"/>
          <w:color w:val="auto"/>
          <w:sz w:val="21"/>
          <w:szCs w:val="21"/>
          <w:highlight w:val="none"/>
          <w:lang w:val="en-US" w:eastAsia="zh-CN"/>
        </w:rPr>
      </w:pPr>
      <w:r>
        <w:rPr>
          <w:rFonts w:hint="eastAsia" w:cs="宋体"/>
          <w:color w:val="auto"/>
          <w:sz w:val="21"/>
          <w:szCs w:val="21"/>
          <w:highlight w:val="none"/>
          <w:lang w:val="en-US" w:eastAsia="zh-CN"/>
        </w:rPr>
        <w:t>D、承包人未达到诚信与技术标准，</w:t>
      </w:r>
      <w:r>
        <w:rPr>
          <w:rFonts w:hint="eastAsia" w:cs="宋体"/>
          <w:color w:val="auto"/>
          <w:sz w:val="21"/>
          <w:szCs w:val="21"/>
          <w:highlight w:val="none"/>
        </w:rPr>
        <w:t>发包人</w:t>
      </w:r>
      <w:r>
        <w:rPr>
          <w:rFonts w:hint="eastAsia" w:cs="宋体"/>
          <w:color w:val="auto"/>
          <w:sz w:val="21"/>
          <w:szCs w:val="21"/>
          <w:highlight w:val="none"/>
          <w:lang w:val="en-US" w:eastAsia="zh-CN"/>
        </w:rPr>
        <w:t>有权</w:t>
      </w:r>
      <w:r>
        <w:rPr>
          <w:rFonts w:hint="eastAsia" w:cs="宋体"/>
          <w:color w:val="auto"/>
          <w:sz w:val="21"/>
          <w:szCs w:val="21"/>
          <w:highlight w:val="none"/>
        </w:rPr>
        <w:t>没收</w:t>
      </w:r>
      <w:r>
        <w:rPr>
          <w:rFonts w:hint="eastAsia" w:cs="宋体"/>
          <w:color w:val="auto"/>
          <w:sz w:val="21"/>
          <w:szCs w:val="21"/>
          <w:highlight w:val="none"/>
          <w:lang w:val="en-US" w:eastAsia="zh-CN"/>
        </w:rPr>
        <w:t>部分或全部</w:t>
      </w:r>
      <w:r>
        <w:rPr>
          <w:rFonts w:hint="eastAsia" w:cs="宋体"/>
          <w:color w:val="auto"/>
          <w:sz w:val="21"/>
          <w:szCs w:val="21"/>
          <w:highlight w:val="none"/>
        </w:rPr>
        <w:t>履约保证金</w:t>
      </w:r>
      <w:r>
        <w:rPr>
          <w:rFonts w:hint="eastAsia" w:cs="宋体"/>
          <w:color w:val="auto"/>
          <w:sz w:val="21"/>
          <w:szCs w:val="21"/>
          <w:highlight w:val="none"/>
          <w:lang w:val="en-US" w:eastAsia="zh-CN"/>
        </w:rPr>
        <w:t>。</w:t>
      </w:r>
    </w:p>
    <w:p w14:paraId="0D694FF7">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u w:val="single"/>
        </w:rPr>
        <w:t>当发生下列情况时，</w:t>
      </w:r>
      <w:r>
        <w:rPr>
          <w:rFonts w:hint="eastAsia" w:cs="宋体"/>
          <w:color w:val="auto"/>
          <w:sz w:val="21"/>
          <w:szCs w:val="21"/>
          <w:highlight w:val="none"/>
          <w:u w:val="single"/>
          <w:lang w:val="en-US" w:eastAsia="zh-CN"/>
        </w:rPr>
        <w:t>发包人有权解除合同，没收全部或部分履约保证金，同时</w:t>
      </w:r>
      <w:r>
        <w:rPr>
          <w:rFonts w:hint="eastAsia" w:cs="宋体"/>
          <w:color w:val="auto"/>
          <w:sz w:val="21"/>
          <w:szCs w:val="21"/>
          <w:highlight w:val="none"/>
          <w:u w:val="single"/>
        </w:rPr>
        <w:t>承包人承担赔偿责任：</w:t>
      </w:r>
    </w:p>
    <w:p w14:paraId="4A0BF77A">
      <w:pPr>
        <w:pStyle w:val="46"/>
        <w:tabs>
          <w:tab w:val="left" w:pos="105"/>
          <w:tab w:val="left" w:pos="1260"/>
          <w:tab w:val="left" w:pos="1353"/>
        </w:tabs>
        <w:wordWrap w:val="0"/>
        <w:spacing w:line="400" w:lineRule="exact"/>
        <w:ind w:left="0" w:firstLine="420" w:firstLineChars="200"/>
        <w:jc w:val="left"/>
        <w:rPr>
          <w:rFonts w:hint="eastAsia"/>
          <w:color w:val="auto"/>
          <w:szCs w:val="21"/>
          <w:highlight w:val="none"/>
        </w:rPr>
      </w:pPr>
      <w:r>
        <w:rPr>
          <w:rFonts w:hint="eastAsia"/>
          <w:color w:val="auto"/>
          <w:szCs w:val="21"/>
          <w:highlight w:val="none"/>
          <w:u w:val="single"/>
        </w:rPr>
        <w:t>（</w:t>
      </w:r>
      <w:r>
        <w:rPr>
          <w:rFonts w:hint="eastAsia"/>
          <w:color w:val="auto"/>
          <w:szCs w:val="21"/>
          <w:highlight w:val="none"/>
          <w:u w:val="single"/>
          <w:lang w:val="en-US"/>
        </w:rPr>
        <w:t>1</w:t>
      </w:r>
      <w:r>
        <w:rPr>
          <w:rFonts w:hint="eastAsia"/>
          <w:color w:val="auto"/>
          <w:szCs w:val="21"/>
          <w:highlight w:val="none"/>
          <w:u w:val="single"/>
        </w:rPr>
        <w:t>）承包人经三次试验仍未能通过竣工试验、或经三次试验仍未能通过竣工后试验，导致的工程任何主要部分或整个工程丧失了使用价值、生产价值、使用利益；</w:t>
      </w:r>
    </w:p>
    <w:p w14:paraId="544871C7">
      <w:pPr>
        <w:pStyle w:val="46"/>
        <w:tabs>
          <w:tab w:val="left" w:pos="105"/>
          <w:tab w:val="left" w:pos="1260"/>
          <w:tab w:val="left" w:pos="1353"/>
        </w:tabs>
        <w:wordWrap w:val="0"/>
        <w:spacing w:line="400" w:lineRule="exact"/>
        <w:ind w:left="0" w:firstLine="420" w:firstLineChars="200"/>
        <w:jc w:val="left"/>
        <w:rPr>
          <w:rFonts w:hint="eastAsia"/>
          <w:color w:val="auto"/>
          <w:szCs w:val="21"/>
          <w:highlight w:val="none"/>
        </w:rPr>
      </w:pPr>
      <w:r>
        <w:rPr>
          <w:rFonts w:hint="eastAsia"/>
          <w:color w:val="auto"/>
          <w:szCs w:val="21"/>
          <w:highlight w:val="none"/>
          <w:u w:val="single"/>
        </w:rPr>
        <w:t>（</w:t>
      </w:r>
      <w:r>
        <w:rPr>
          <w:rFonts w:hint="eastAsia"/>
          <w:color w:val="auto"/>
          <w:szCs w:val="21"/>
          <w:highlight w:val="none"/>
          <w:u w:val="single"/>
          <w:lang w:val="en-US"/>
        </w:rPr>
        <w:t>2</w:t>
      </w:r>
      <w:r>
        <w:rPr>
          <w:rFonts w:hint="eastAsia"/>
          <w:color w:val="auto"/>
          <w:szCs w:val="21"/>
          <w:highlight w:val="none"/>
          <w:u w:val="single"/>
        </w:rPr>
        <w:t>）承包人未经发包人同意、或未经必要的许可、或适用法律不允许分包的，将工程分包给他人；</w:t>
      </w:r>
    </w:p>
    <w:p w14:paraId="346312E1">
      <w:pPr>
        <w:pStyle w:val="10"/>
        <w:tabs>
          <w:tab w:val="left" w:pos="105"/>
          <w:tab w:val="left" w:pos="1260"/>
        </w:tabs>
        <w:wordWrap w:val="0"/>
        <w:spacing w:line="400" w:lineRule="exact"/>
        <w:ind w:firstLine="420" w:firstLineChars="200"/>
        <w:jc w:val="left"/>
        <w:rPr>
          <w:rFonts w:hint="eastAsia" w:cs="宋体"/>
          <w:color w:val="auto"/>
          <w:sz w:val="21"/>
          <w:szCs w:val="21"/>
          <w:highlight w:val="none"/>
        </w:rPr>
      </w:pPr>
      <w:r>
        <w:rPr>
          <w:rFonts w:hint="eastAsia" w:cs="宋体"/>
          <w:color w:val="auto"/>
          <w:sz w:val="21"/>
          <w:szCs w:val="21"/>
          <w:highlight w:val="none"/>
          <w:u w:val="single"/>
        </w:rPr>
        <w:t>承包人未能履行合同约定的其它责任和义务。承包人应</w:t>
      </w:r>
      <w:r>
        <w:rPr>
          <w:rFonts w:hint="eastAsia" w:cs="宋体"/>
          <w:color w:val="auto"/>
          <w:sz w:val="21"/>
          <w:szCs w:val="21"/>
          <w:highlight w:val="none"/>
          <w:u w:val="single"/>
          <w:lang w:val="en-US" w:eastAsia="zh-CN"/>
        </w:rPr>
        <w:t>在发包人限期内</w:t>
      </w:r>
      <w:r>
        <w:rPr>
          <w:rFonts w:hint="eastAsia" w:cs="宋体"/>
          <w:color w:val="auto"/>
          <w:sz w:val="21"/>
          <w:szCs w:val="21"/>
          <w:highlight w:val="none"/>
          <w:u w:val="single"/>
        </w:rPr>
        <w:t>采取补救措施，并赔偿因上述违约行为给发包人造成的损失。</w:t>
      </w:r>
      <w:r>
        <w:rPr>
          <w:rFonts w:hint="eastAsia" w:cs="宋体"/>
          <w:color w:val="auto"/>
          <w:sz w:val="21"/>
          <w:szCs w:val="21"/>
          <w:highlight w:val="none"/>
          <w:u w:val="single"/>
          <w:lang w:val="en-US" w:eastAsia="zh-CN"/>
        </w:rPr>
        <w:t>逾期补救或拒绝补救的，</w:t>
      </w:r>
      <w:r>
        <w:rPr>
          <w:rFonts w:hint="eastAsia" w:cs="宋体"/>
          <w:color w:val="auto"/>
          <w:sz w:val="21"/>
          <w:szCs w:val="21"/>
          <w:highlight w:val="none"/>
        </w:rPr>
        <w:t>发包人</w:t>
      </w:r>
      <w:r>
        <w:rPr>
          <w:rFonts w:hint="eastAsia" w:cs="宋体"/>
          <w:color w:val="auto"/>
          <w:sz w:val="21"/>
          <w:szCs w:val="21"/>
          <w:highlight w:val="none"/>
          <w:lang w:val="en-US" w:eastAsia="zh-CN"/>
        </w:rPr>
        <w:t>有权</w:t>
      </w:r>
      <w:r>
        <w:rPr>
          <w:rFonts w:hint="eastAsia" w:cs="宋体"/>
          <w:color w:val="auto"/>
          <w:sz w:val="21"/>
          <w:szCs w:val="21"/>
          <w:highlight w:val="none"/>
        </w:rPr>
        <w:t>没收</w:t>
      </w:r>
      <w:r>
        <w:rPr>
          <w:rFonts w:hint="eastAsia" w:cs="宋体"/>
          <w:color w:val="auto"/>
          <w:sz w:val="21"/>
          <w:szCs w:val="21"/>
          <w:highlight w:val="none"/>
          <w:lang w:val="en-US" w:eastAsia="zh-CN"/>
        </w:rPr>
        <w:t>部分或全部</w:t>
      </w:r>
      <w:r>
        <w:rPr>
          <w:rFonts w:hint="eastAsia" w:cs="宋体"/>
          <w:color w:val="auto"/>
          <w:sz w:val="21"/>
          <w:szCs w:val="21"/>
          <w:highlight w:val="none"/>
        </w:rPr>
        <w:t>履约保证金</w:t>
      </w:r>
      <w:r>
        <w:rPr>
          <w:rFonts w:hint="eastAsia" w:cs="宋体"/>
          <w:color w:val="auto"/>
          <w:sz w:val="21"/>
          <w:szCs w:val="21"/>
          <w:highlight w:val="none"/>
          <w:u w:val="single"/>
          <w:lang w:eastAsia="zh-CN"/>
        </w:rPr>
        <w:t>，</w:t>
      </w:r>
      <w:r>
        <w:rPr>
          <w:rFonts w:hint="eastAsia" w:cs="宋体"/>
          <w:color w:val="auto"/>
          <w:sz w:val="21"/>
          <w:szCs w:val="21"/>
          <w:highlight w:val="none"/>
          <w:u w:val="single"/>
          <w:lang w:val="en-US" w:eastAsia="zh-CN"/>
        </w:rPr>
        <w:t>前述情况出现三次及以上，发包人有权解除合同。造成甲方损失的，另行赔偿。同时</w:t>
      </w:r>
      <w:r>
        <w:rPr>
          <w:rFonts w:hint="eastAsia" w:cs="宋体"/>
          <w:color w:val="auto"/>
          <w:sz w:val="21"/>
          <w:szCs w:val="21"/>
          <w:highlight w:val="none"/>
          <w:u w:val="single"/>
        </w:rPr>
        <w:t>并不能减轻或免除合同中约定的由承包人继续履行的其它责任和义务</w:t>
      </w:r>
    </w:p>
    <w:p w14:paraId="791E274E">
      <w:pPr>
        <w:keepNext w:val="0"/>
        <w:keepLines w:val="0"/>
        <w:pageBreakBefore w:val="0"/>
        <w:widowControl/>
        <w:kinsoku w:val="0"/>
        <w:overflowPunct/>
        <w:topLinePunct/>
        <w:autoSpaceDE w:val="0"/>
        <w:autoSpaceDN w:val="0"/>
        <w:bidi w:val="0"/>
        <w:adjustRightInd w:val="0"/>
        <w:snapToGrid w:val="0"/>
        <w:spacing w:line="400" w:lineRule="exact"/>
        <w:jc w:val="left"/>
        <w:textAlignment w:val="baseline"/>
        <w:rPr>
          <w:rFonts w:hint="eastAsia"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第16条 合同解除</w:t>
      </w:r>
    </w:p>
    <w:p w14:paraId="69A22205">
      <w:pPr>
        <w:keepNext w:val="0"/>
        <w:keepLines w:val="0"/>
        <w:pageBreakBefore w:val="0"/>
        <w:widowControl w:val="0"/>
        <w:kinsoku w:val="0"/>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16.1 由发包人解除合同</w:t>
      </w:r>
    </w:p>
    <w:p w14:paraId="792AB498">
      <w:pPr>
        <w:keepNext w:val="0"/>
        <w:keepLines w:val="0"/>
        <w:pageBreakBefore w:val="0"/>
        <w:widowControl w:val="0"/>
        <w:kinsoku w:val="0"/>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16.1.1 因承包人违约解除合同</w:t>
      </w:r>
    </w:p>
    <w:p w14:paraId="48C09EB4">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承包人违约解除合同的特别约定：承包人有下列行为的，发包人有权要求承包人整改其工作内容，承包人在约定期限内拒不整改或未有效整改的，发包人有权追究其违约责任直至解除合同。发包人因此遭受的一切损失，由承包人负责赔偿。</w:t>
      </w:r>
    </w:p>
    <w:p w14:paraId="32AFB5AD">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（1）承包人的项目管理人员在发包人发送到岗书面催告单三次以上不及时到岗的；</w:t>
      </w:r>
    </w:p>
    <w:p w14:paraId="0C7FD9C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（2）建设工程竣工前，承包人非法转包、违法分包建设项目的；</w:t>
      </w:r>
    </w:p>
    <w:p w14:paraId="0318066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（3）因承包人无故停工超过20日历天（含20</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日</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）的；</w:t>
      </w:r>
    </w:p>
    <w:p w14:paraId="6A14E3D1">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（4）因承包人的原因致使工程质量、工程验收不合格，在发包人提出的合理期限内，承包人拒绝或无法修复的；</w:t>
      </w:r>
    </w:p>
    <w:p w14:paraId="5FECFBF2">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（5）承包人在合同约定的工期内未完工，在发包人催告的合理期限内仍未完工的；或承包人施工进度比预定计划严重滞后，显然不能按照合同约定的工期如期完成；</w:t>
      </w:r>
    </w:p>
    <w:p w14:paraId="522B7159">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（6）承包人以自己的行为表示不再继续施工的；</w:t>
      </w:r>
    </w:p>
    <w:p w14:paraId="51A5FAA3">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（7）在施工过程中发生重大质量事故或者重大安全事故的；</w:t>
      </w:r>
    </w:p>
    <w:p w14:paraId="020D169F">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（8）承包人因违规施工造成严重损害发包人信誉的；</w:t>
      </w:r>
    </w:p>
    <w:p w14:paraId="7F1777C5">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（9）有其它违约行为造成无法履约的。</w:t>
      </w:r>
    </w:p>
    <w:p w14:paraId="2869803D">
      <w:pPr>
        <w:keepNext w:val="0"/>
        <w:keepLines w:val="0"/>
        <w:pageBreakBefore w:val="0"/>
        <w:widowControl w:val="0"/>
        <w:kinsoku/>
        <w:wordWrap/>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如出现上述情况，承包人在收到发包人发出解除合同的通知后，应立即停工，妥善做好已完工程和已购材料、设备的保护和移交工作。承包人应在发包人发出解除合同通知后15日内撤出施工场地，若承包人未在该期限内撤出施工场地的，视为承包人放弃其遗留在场地内的材料、机械设备等物品的所有权，发包人可以处置。承包人撤出施工场时，应清空建筑垃圾，同时由承包人承担其撤出场地发生的所有费用，若发包人为此承担的，有权向承包人追偿。已经定货的材料、设备由承包人负责退货或解除订货合同，承包人承担由此所发生的费用。承包人须配合做好已完工程结算工作。</w:t>
      </w:r>
    </w:p>
    <w:p w14:paraId="28695DD2">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发包人继续使用承包人在施工现场的材料、设备、临时工程、承包人文件和由承包人或以其名义编制的其他文件的费用承担方式：承包人未清场的材料、设备、设施等，发包人有权使用，费用承包人承担。</w:t>
      </w:r>
    </w:p>
    <w:p w14:paraId="730B8EBA">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16.2 由承包人解除合同</w:t>
      </w:r>
    </w:p>
    <w:p w14:paraId="400A654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16.2.1 因发包人违约解除合同</w:t>
      </w:r>
    </w:p>
    <w:p w14:paraId="355A53F9">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双方约定可由承包人解除合同的其他事由：</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FC3ED79">
      <w:pPr>
        <w:keepNext w:val="0"/>
        <w:keepLines w:val="0"/>
        <w:pageBreakBefore w:val="0"/>
        <w:widowControl/>
        <w:kinsoku w:val="0"/>
        <w:overflowPunct/>
        <w:topLinePunct/>
        <w:autoSpaceDE w:val="0"/>
        <w:autoSpaceDN w:val="0"/>
        <w:bidi w:val="0"/>
        <w:adjustRightInd w:val="0"/>
        <w:snapToGrid w:val="0"/>
        <w:spacing w:line="400" w:lineRule="exact"/>
        <w:jc w:val="left"/>
        <w:textAlignment w:val="baseline"/>
        <w:rPr>
          <w:rFonts w:hint="eastAsia"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第17条 不可抗力</w:t>
      </w:r>
    </w:p>
    <w:p w14:paraId="0812E59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17.1 不可抗力的定义</w:t>
      </w:r>
    </w:p>
    <w:p w14:paraId="54A2C4E1">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除通用合同条件约定的不可抗力事件之外，视为不可抗力的其他情形：</w:t>
      </w:r>
    </w:p>
    <w:p w14:paraId="66B7E0F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（1）战争、敌对行动（不论宣战与否）、入侵、外敌行为；</w:t>
      </w:r>
    </w:p>
    <w:p w14:paraId="7BD2D84F">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（2）叛乱、恐怖主义、革命、暴动、军事政变或篡夺政权、内乱；</w:t>
      </w:r>
    </w:p>
    <w:p w14:paraId="1F45B34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（3）战争军火、爆炸物资、电离辐射或放射性污染；</w:t>
      </w:r>
    </w:p>
    <w:p w14:paraId="542CBEB0">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（4）里氏地震烈度5度及以上地震、海啸等自然灾害；</w:t>
      </w:r>
    </w:p>
    <w:p w14:paraId="0DD14237">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（5）传染病爆发，瘟疫；</w:t>
      </w:r>
    </w:p>
    <w:p w14:paraId="12BD9E39">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（6）火灾、空中飞行物坠落等其他非发包人承包人责任的事件引发的后果；</w:t>
      </w:r>
    </w:p>
    <w:p w14:paraId="657CE726">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（7）国家法律法规变化及政策性文件。</w:t>
      </w:r>
    </w:p>
    <w:p w14:paraId="1F0D604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17.6 因不可抗力解除合同</w:t>
      </w:r>
    </w:p>
    <w:p w14:paraId="57BC24D9">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合同解除后，发包人应当在商定或确定发包人应支付款项后的</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天内完成款项的支付。</w:t>
      </w:r>
    </w:p>
    <w:p w14:paraId="5B7E1C73">
      <w:pPr>
        <w:keepNext w:val="0"/>
        <w:keepLines w:val="0"/>
        <w:pageBreakBefore w:val="0"/>
        <w:widowControl/>
        <w:kinsoku w:val="0"/>
        <w:overflowPunct/>
        <w:topLinePunct/>
        <w:autoSpaceDE w:val="0"/>
        <w:autoSpaceDN w:val="0"/>
        <w:bidi w:val="0"/>
        <w:adjustRightInd w:val="0"/>
        <w:snapToGrid w:val="0"/>
        <w:spacing w:line="400" w:lineRule="exact"/>
        <w:jc w:val="left"/>
        <w:textAlignment w:val="baseline"/>
        <w:rPr>
          <w:rFonts w:hint="eastAsia"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第18条保险</w:t>
      </w:r>
    </w:p>
    <w:p w14:paraId="75CE6CDC">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18.1 设计和工程保险</w:t>
      </w:r>
    </w:p>
    <w:p w14:paraId="784B0E43">
      <w:pPr>
        <w:keepNext w:val="0"/>
        <w:keepLines w:val="0"/>
        <w:pageBreakBefore w:val="0"/>
        <w:widowControl w:val="0"/>
        <w:tabs>
          <w:tab w:val="left" w:pos="105"/>
          <w:tab w:val="left" w:pos="1260"/>
        </w:tabs>
        <w:kinsoku/>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双方当事人关于设计和工程保险的特别约定：</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为保证工程及双方现场人员、机械设备、原材料的安全，相关一切保险（包含工程强制性保险及为施工现场人员、设备、材料办理的商业保险）由投标人自行投保，费用包含在合同价款内。承包人须为本工程办理建设工程一切险并支付保险费用。在开工前承包人需提供工程一切险参保的相应凭据，若未能投保，则发包人有权从合同价款中扣除相关费用并向相应保险机构投保，工程其他人员、机械、原材料的相关保险，在工程发生相应事故（自然灾害或其他情况造成现场人员、机械、原材料造成损失的）的情况下，承包人应首先向保险公司办理索赔程序，如承包人未购买相应保险的，不得向发包人提出索赔申请。</w:t>
      </w:r>
    </w:p>
    <w:p w14:paraId="41578999">
      <w:pPr>
        <w:pStyle w:val="46"/>
        <w:keepNext w:val="0"/>
        <w:keepLines w:val="0"/>
        <w:pageBreakBefore w:val="0"/>
        <w:widowControl w:val="0"/>
        <w:numPr>
          <w:ilvl w:val="2"/>
          <w:numId w:val="22"/>
        </w:numPr>
        <w:tabs>
          <w:tab w:val="left" w:pos="105"/>
          <w:tab w:val="left" w:pos="1260"/>
          <w:tab w:val="left" w:pos="1794"/>
          <w:tab w:val="left" w:pos="4272"/>
        </w:tabs>
        <w:kinsoku/>
        <w:wordWrap w:val="0"/>
        <w:overflowPunct/>
        <w:autoSpaceDE w:val="0"/>
        <w:autoSpaceDN w:val="0"/>
        <w:bidi w:val="0"/>
        <w:adjustRightInd w:val="0"/>
        <w:snapToGrid w:val="0"/>
        <w:spacing w:line="400" w:lineRule="exact"/>
        <w:ind w:left="0" w:firstLine="420" w:firstLineChars="200"/>
        <w:jc w:val="left"/>
        <w:textAlignment w:val="baseline"/>
        <w:rPr>
          <w:rFonts w:hint="eastAsia" w:ascii="宋体" w:hAnsi="宋体" w:cs="宋体"/>
          <w:snapToGrid w:val="0"/>
          <w:color w:val="000000" w:themeColor="text1"/>
          <w:kern w:val="0"/>
          <w:szCs w:val="21"/>
          <w:highlight w:val="none"/>
          <w:lang w:val="zh-CN" w:bidi="zh-CN"/>
          <w14:textFill>
            <w14:solidFill>
              <w14:schemeClr w14:val="tx1"/>
            </w14:solidFill>
          </w14:textFill>
        </w:rPr>
      </w:pPr>
      <w:r>
        <w:rPr>
          <w:rFonts w:hint="eastAsia" w:ascii="宋体" w:hAnsi="宋体" w:cs="宋体"/>
          <w:snapToGrid w:val="0"/>
          <w:color w:val="000000" w:themeColor="text1"/>
          <w:kern w:val="0"/>
          <w:szCs w:val="21"/>
          <w:highlight w:val="none"/>
          <w:lang w:val="zh-CN" w:bidi="zh-CN"/>
          <w14:textFill>
            <w14:solidFill>
              <w14:schemeClr w14:val="tx1"/>
            </w14:solidFill>
          </w14:textFill>
        </w:rPr>
        <w:t>双方当事人关于第三方责任险的特别约定：</w:t>
      </w:r>
      <w:r>
        <w:rPr>
          <w:rFonts w:hint="eastAsia" w:ascii="宋体" w:hAnsi="宋体" w:cs="宋体"/>
          <w:snapToGrid w:val="0"/>
          <w:color w:val="000000" w:themeColor="text1"/>
          <w:kern w:val="0"/>
          <w:szCs w:val="21"/>
          <w:highlight w:val="none"/>
          <w:u w:val="single"/>
          <w:lang w:val="zh-CN" w:bidi="zh-CN"/>
          <w14:textFill>
            <w14:solidFill>
              <w14:schemeClr w14:val="tx1"/>
            </w14:solidFill>
          </w14:textFill>
        </w:rPr>
        <w:t>承包人按国家地方有关规定和工程建设需要投保，费用包含在合同价款内</w:t>
      </w:r>
      <w:r>
        <w:rPr>
          <w:rFonts w:hint="eastAsia" w:ascii="宋体" w:hAnsi="宋体" w:cs="宋体"/>
          <w:snapToGrid w:val="0"/>
          <w:color w:val="000000" w:themeColor="text1"/>
          <w:kern w:val="0"/>
          <w:szCs w:val="21"/>
          <w:highlight w:val="none"/>
          <w:lang w:val="zh-CN" w:bidi="zh-CN"/>
          <w14:textFill>
            <w14:solidFill>
              <w14:schemeClr w14:val="tx1"/>
            </w14:solidFill>
          </w14:textFill>
        </w:rPr>
        <w:t>。</w:t>
      </w:r>
    </w:p>
    <w:p w14:paraId="571C922A">
      <w:pPr>
        <w:pStyle w:val="46"/>
        <w:keepNext w:val="0"/>
        <w:keepLines w:val="0"/>
        <w:pageBreakBefore w:val="0"/>
        <w:widowControl w:val="0"/>
        <w:numPr>
          <w:ilvl w:val="0"/>
          <w:numId w:val="0"/>
        </w:numPr>
        <w:tabs>
          <w:tab w:val="left" w:pos="105"/>
          <w:tab w:val="left" w:pos="1260"/>
          <w:tab w:val="left" w:pos="1573"/>
        </w:tabs>
        <w:kinsoku/>
        <w:wordWrap w:val="0"/>
        <w:overflowPunct/>
        <w:autoSpaceDE w:val="0"/>
        <w:autoSpaceDN w:val="0"/>
        <w:bidi w:val="0"/>
        <w:adjustRightInd w:val="0"/>
        <w:snapToGrid w:val="0"/>
        <w:spacing w:line="400" w:lineRule="exact"/>
        <w:ind w:left="948" w:leftChars="200" w:hanging="528"/>
        <w:jc w:val="left"/>
        <w:textAlignment w:val="baseline"/>
        <w:rPr>
          <w:rFonts w:hint="eastAsia" w:ascii="宋体" w:hAnsi="宋体" w:cs="宋体"/>
          <w:b/>
          <w:bCs/>
          <w:snapToGrid w:val="0"/>
          <w:color w:val="000000" w:themeColor="text1"/>
          <w:kern w:val="0"/>
          <w:szCs w:val="21"/>
          <w:highlight w:val="none"/>
          <w:lang w:val="zh-CN" w:bidi="zh-CN"/>
          <w14:textFill>
            <w14:solidFill>
              <w14:schemeClr w14:val="tx1"/>
            </w14:solidFill>
          </w14:textFill>
        </w:rPr>
      </w:pPr>
      <w:r>
        <w:rPr>
          <w:rFonts w:hint="eastAsia" w:ascii="宋体" w:hAnsi="宋体" w:cs="宋体"/>
          <w:b/>
          <w:bCs/>
          <w:snapToGrid w:val="0"/>
          <w:color w:val="000000" w:themeColor="text1"/>
          <w:kern w:val="0"/>
          <w:szCs w:val="21"/>
          <w:highlight w:val="none"/>
          <w:lang w:val="en-US" w:eastAsia="zh-CN" w:bidi="zh-CN"/>
          <w14:textFill>
            <w14:solidFill>
              <w14:schemeClr w14:val="tx1"/>
            </w14:solidFill>
          </w14:textFill>
        </w:rPr>
        <w:t xml:space="preserve">18.2 </w:t>
      </w:r>
      <w:r>
        <w:rPr>
          <w:rFonts w:hint="eastAsia" w:ascii="宋体" w:hAnsi="宋体" w:cs="宋体"/>
          <w:b/>
          <w:bCs/>
          <w:snapToGrid w:val="0"/>
          <w:color w:val="000000" w:themeColor="text1"/>
          <w:kern w:val="0"/>
          <w:szCs w:val="21"/>
          <w:highlight w:val="none"/>
          <w:lang w:val="zh-CN" w:bidi="zh-CN"/>
          <w14:textFill>
            <w14:solidFill>
              <w14:schemeClr w14:val="tx1"/>
            </w14:solidFill>
          </w14:textFill>
        </w:rPr>
        <w:t>工伤和意外伤害保险</w:t>
      </w:r>
    </w:p>
    <w:p w14:paraId="14E1FDFE">
      <w:pPr>
        <w:keepNext w:val="0"/>
        <w:keepLines w:val="0"/>
        <w:pageBreakBefore w:val="0"/>
        <w:widowControl w:val="0"/>
        <w:tabs>
          <w:tab w:val="left" w:pos="105"/>
          <w:tab w:val="left" w:pos="1260"/>
          <w:tab w:val="left" w:pos="4603"/>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宋体" w:hAnsi="宋体" w:eastAsia="宋体" w:cs="宋体"/>
          <w:snapToGrid w:val="0"/>
          <w:color w:val="000000" w:themeColor="text1"/>
          <w:kern w:val="0"/>
          <w:sz w:val="21"/>
          <w:szCs w:val="21"/>
          <w:highlight w:val="none"/>
          <w:lang w:val="en-US" w:eastAsia="en-US" w:bidi="ar-SA"/>
          <w14:textFill>
            <w14:solidFill>
              <w14:schemeClr w14:val="tx1"/>
            </w14:solidFill>
          </w14:textFill>
        </w:rPr>
        <w:t xml:space="preserve">18.2.3 </w:t>
      </w: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关于工伤保险和意外伤害保险的特别约定：</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承包人按国家地方有关规定和工程建设需要投保，费用包含在合同价款内</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ab/>
      </w: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w:t>
      </w:r>
    </w:p>
    <w:p w14:paraId="00CA4C38">
      <w:pPr>
        <w:pStyle w:val="46"/>
        <w:keepNext w:val="0"/>
        <w:keepLines w:val="0"/>
        <w:pageBreakBefore w:val="0"/>
        <w:widowControl w:val="0"/>
        <w:numPr>
          <w:ilvl w:val="0"/>
          <w:numId w:val="0"/>
        </w:numPr>
        <w:tabs>
          <w:tab w:val="left" w:pos="105"/>
          <w:tab w:val="left" w:pos="1260"/>
          <w:tab w:val="left" w:pos="1573"/>
        </w:tabs>
        <w:kinsoku/>
        <w:wordWrap w:val="0"/>
        <w:overflowPunct/>
        <w:topLinePunct w:val="0"/>
        <w:autoSpaceDE w:val="0"/>
        <w:autoSpaceDN w:val="0"/>
        <w:bidi w:val="0"/>
        <w:adjustRightInd w:val="0"/>
        <w:snapToGrid w:val="0"/>
        <w:spacing w:line="400" w:lineRule="exact"/>
        <w:ind w:left="948" w:leftChars="200" w:hanging="528"/>
        <w:jc w:val="left"/>
        <w:textAlignment w:val="baseline"/>
        <w:rPr>
          <w:rFonts w:hint="eastAsia" w:ascii="宋体" w:hAnsi="宋体" w:cs="宋体"/>
          <w:b/>
          <w:bCs/>
          <w:snapToGrid w:val="0"/>
          <w:color w:val="000000" w:themeColor="text1"/>
          <w:kern w:val="0"/>
          <w:szCs w:val="21"/>
          <w:highlight w:val="none"/>
          <w:lang w:val="zh-CN" w:bidi="zh-CN"/>
          <w14:textFill>
            <w14:solidFill>
              <w14:schemeClr w14:val="tx1"/>
            </w14:solidFill>
          </w14:textFill>
        </w:rPr>
      </w:pPr>
      <w:r>
        <w:rPr>
          <w:rFonts w:hint="eastAsia" w:ascii="宋体" w:hAnsi="宋体" w:cs="宋体"/>
          <w:b/>
          <w:bCs/>
          <w:snapToGrid w:val="0"/>
          <w:color w:val="000000" w:themeColor="text1"/>
          <w:kern w:val="0"/>
          <w:szCs w:val="21"/>
          <w:highlight w:val="none"/>
          <w:lang w:val="en-US" w:eastAsia="zh-CN" w:bidi="zh-CN"/>
          <w14:textFill>
            <w14:solidFill>
              <w14:schemeClr w14:val="tx1"/>
            </w14:solidFill>
          </w14:textFill>
        </w:rPr>
        <w:t xml:space="preserve">18.3 </w:t>
      </w:r>
      <w:r>
        <w:rPr>
          <w:rFonts w:hint="eastAsia" w:ascii="宋体" w:hAnsi="宋体" w:cs="宋体"/>
          <w:b/>
          <w:bCs/>
          <w:snapToGrid w:val="0"/>
          <w:color w:val="000000" w:themeColor="text1"/>
          <w:kern w:val="0"/>
          <w:szCs w:val="21"/>
          <w:highlight w:val="none"/>
          <w:lang w:val="zh-CN" w:bidi="zh-CN"/>
          <w14:textFill>
            <w14:solidFill>
              <w14:schemeClr w14:val="tx1"/>
            </w14:solidFill>
          </w14:textFill>
        </w:rPr>
        <w:t>货物保险</w:t>
      </w:r>
    </w:p>
    <w:p w14:paraId="01A2098E">
      <w:pPr>
        <w:keepNext w:val="0"/>
        <w:keepLines w:val="0"/>
        <w:pageBreakBefore w:val="0"/>
        <w:widowControl w:val="0"/>
        <w:tabs>
          <w:tab w:val="left" w:pos="105"/>
          <w:tab w:val="left" w:pos="1260"/>
          <w:tab w:val="left" w:pos="8560"/>
        </w:tabs>
        <w:kinsoku/>
        <w:wordWrap w:val="0"/>
        <w:overflowPunct/>
        <w:topLinePunct w:val="0"/>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pP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关于承包人应为其施工设备、材料、工程设备和临时工程等办理财产保险的特别约定：</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承包人按国家地方有关规定和工程建设需要投保，费用包含在合同价款内。</w:t>
      </w:r>
    </w:p>
    <w:p w14:paraId="759ED440">
      <w:pPr>
        <w:pStyle w:val="46"/>
        <w:keepNext w:val="0"/>
        <w:keepLines w:val="0"/>
        <w:pageBreakBefore w:val="0"/>
        <w:widowControl w:val="0"/>
        <w:numPr>
          <w:ilvl w:val="0"/>
          <w:numId w:val="0"/>
        </w:numPr>
        <w:tabs>
          <w:tab w:val="left" w:pos="105"/>
          <w:tab w:val="left" w:pos="1260"/>
          <w:tab w:val="left" w:pos="1573"/>
        </w:tabs>
        <w:kinsoku/>
        <w:wordWrap w:val="0"/>
        <w:overflowPunct/>
        <w:autoSpaceDE w:val="0"/>
        <w:autoSpaceDN w:val="0"/>
        <w:bidi w:val="0"/>
        <w:adjustRightInd w:val="0"/>
        <w:snapToGrid w:val="0"/>
        <w:spacing w:line="400" w:lineRule="exact"/>
        <w:ind w:left="948" w:leftChars="200" w:hanging="528"/>
        <w:jc w:val="left"/>
        <w:textAlignment w:val="baseline"/>
        <w:rPr>
          <w:rFonts w:hint="eastAsia" w:ascii="宋体" w:hAnsi="宋体" w:cs="宋体"/>
          <w:b/>
          <w:bCs/>
          <w:snapToGrid w:val="0"/>
          <w:color w:val="000000" w:themeColor="text1"/>
          <w:kern w:val="0"/>
          <w:szCs w:val="21"/>
          <w:highlight w:val="none"/>
          <w:lang w:val="zh-CN" w:bidi="zh-CN"/>
          <w14:textFill>
            <w14:solidFill>
              <w14:schemeClr w14:val="tx1"/>
            </w14:solidFill>
          </w14:textFill>
        </w:rPr>
      </w:pPr>
      <w:r>
        <w:rPr>
          <w:rFonts w:hint="eastAsia" w:ascii="宋体" w:hAnsi="宋体" w:cs="宋体"/>
          <w:b/>
          <w:bCs/>
          <w:snapToGrid w:val="0"/>
          <w:color w:val="000000" w:themeColor="text1"/>
          <w:kern w:val="0"/>
          <w:szCs w:val="21"/>
          <w:highlight w:val="none"/>
          <w:lang w:val="en-US" w:eastAsia="zh-CN" w:bidi="zh-CN"/>
          <w14:textFill>
            <w14:solidFill>
              <w14:schemeClr w14:val="tx1"/>
            </w14:solidFill>
          </w14:textFill>
        </w:rPr>
        <w:t xml:space="preserve">18.4 </w:t>
      </w:r>
      <w:r>
        <w:rPr>
          <w:rFonts w:hint="eastAsia" w:ascii="宋体" w:hAnsi="宋体" w:cs="宋体"/>
          <w:b/>
          <w:bCs/>
          <w:snapToGrid w:val="0"/>
          <w:color w:val="000000" w:themeColor="text1"/>
          <w:kern w:val="0"/>
          <w:szCs w:val="21"/>
          <w:highlight w:val="none"/>
          <w:lang w:val="zh-CN" w:bidi="zh-CN"/>
          <w14:textFill>
            <w14:solidFill>
              <w14:schemeClr w14:val="tx1"/>
            </w14:solidFill>
          </w14:textFill>
        </w:rPr>
        <w:t>其他保险</w:t>
      </w:r>
    </w:p>
    <w:p w14:paraId="294AC6A6">
      <w:pPr>
        <w:keepNext w:val="0"/>
        <w:keepLines w:val="0"/>
        <w:pageBreakBefore w:val="0"/>
        <w:widowControl w:val="0"/>
        <w:tabs>
          <w:tab w:val="left" w:pos="105"/>
          <w:tab w:val="left" w:pos="1260"/>
          <w:tab w:val="left" w:pos="4212"/>
        </w:tabs>
        <w:kinsoku/>
        <w:wordWrap w:val="0"/>
        <w:overflowPunct/>
        <w:autoSpaceDE w:val="0"/>
        <w:autoSpaceDN w:val="0"/>
        <w:bidi w:val="0"/>
        <w:adjustRightInd w:val="0"/>
        <w:snapToGrid w:val="0"/>
        <w:spacing w:line="400" w:lineRule="exact"/>
        <w:ind w:firstLine="420" w:firstLineChars="200"/>
        <w:jc w:val="left"/>
        <w:textAlignment w:val="baseline"/>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pP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关于其他保险的约定：</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 xml:space="preserve"> /</w:t>
      </w:r>
      <w:r>
        <w:rPr>
          <w:rFonts w:hint="eastAsia" w:ascii="Arial" w:hAnsi="Arial" w:eastAsia="Arial" w:cs="宋体"/>
          <w:snapToGrid w:val="0"/>
          <w:color w:val="000000" w:themeColor="text1"/>
          <w:kern w:val="0"/>
          <w:sz w:val="21"/>
          <w:szCs w:val="21"/>
          <w:highlight w:val="none"/>
          <w:u w:val="single"/>
          <w:lang w:val="en-US" w:eastAsia="en-US" w:bidi="ar-SA"/>
          <w14:textFill>
            <w14:solidFill>
              <w14:schemeClr w14:val="tx1"/>
            </w14:solidFill>
          </w14:textFill>
        </w:rPr>
        <w:tab/>
      </w:r>
      <w:r>
        <w:rPr>
          <w:rFonts w:hint="eastAsia" w:ascii="Arial" w:hAnsi="Arial" w:eastAsia="Arial" w:cs="宋体"/>
          <w:snapToGrid w:val="0"/>
          <w:color w:val="000000" w:themeColor="text1"/>
          <w:kern w:val="0"/>
          <w:sz w:val="21"/>
          <w:szCs w:val="21"/>
          <w:highlight w:val="none"/>
          <w:lang w:val="en-US" w:eastAsia="en-US" w:bidi="ar-SA"/>
          <w14:textFill>
            <w14:solidFill>
              <w14:schemeClr w14:val="tx1"/>
            </w14:solidFill>
          </w14:textFill>
        </w:rPr>
        <w:t>。</w:t>
      </w:r>
    </w:p>
    <w:p w14:paraId="33FD2834">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18.5 对各项保险的一般要求</w:t>
      </w:r>
    </w:p>
    <w:p w14:paraId="71DD71F8">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18.5.2 保险凭证</w:t>
      </w:r>
    </w:p>
    <w:p w14:paraId="3F25E04F">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保险单的条件：</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承包人向发包人提交各项保险生效的证据和保险单副本，保险手续办理完毕后7天内提交</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37B0681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18.5.4 通知义务</w:t>
      </w:r>
    </w:p>
    <w:p w14:paraId="02929595">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关于变更保险合同时的通知义务的约定：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FAA0382">
      <w:pPr>
        <w:keepNext w:val="0"/>
        <w:keepLines w:val="0"/>
        <w:pageBreakBefore w:val="0"/>
        <w:widowControl w:val="0"/>
        <w:kinsoku/>
        <w:overflowPunct/>
        <w:topLinePunct/>
        <w:autoSpaceDE w:val="0"/>
        <w:autoSpaceDN w:val="0"/>
        <w:bidi w:val="0"/>
        <w:adjustRightInd w:val="0"/>
        <w:snapToGrid w:val="0"/>
        <w:spacing w:line="400" w:lineRule="exact"/>
        <w:jc w:val="left"/>
        <w:textAlignment w:val="baseline"/>
        <w:rPr>
          <w:rFonts w:ascii="宋体" w:hAnsi="宋体" w:eastAsia="Arial" w:cs="宋体"/>
          <w:b/>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snapToGrid w:val="0"/>
          <w:color w:val="000000" w:themeColor="text1"/>
          <w:kern w:val="0"/>
          <w:szCs w:val="21"/>
          <w:highlight w:val="none"/>
          <w:lang w:eastAsia="en-US"/>
          <w14:textFill>
            <w14:solidFill>
              <w14:schemeClr w14:val="tx1"/>
            </w14:solidFill>
          </w14:textFill>
        </w:rPr>
        <w:t>第20条 争议解决</w:t>
      </w:r>
    </w:p>
    <w:p w14:paraId="3E7D878E">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20.3 争议评审</w:t>
      </w:r>
    </w:p>
    <w:p w14:paraId="2801130F">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合同当事人是否同意将工程争议提交争议评审小组决定：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1FB76838">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20.3.1 争议评审小组的确定</w:t>
      </w:r>
    </w:p>
    <w:p w14:paraId="545B3BC8">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争议评审小组成员的人数：</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7198E30E">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争议评审小组成员的确定：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按通用条款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4DB2B87">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选定争议避免/评审组的期限：</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29426EC1">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评审机构：</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6526AAD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其他事项的约定：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0FD5AED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争议评审员报酬的承担人：</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由承包人承担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53BF19F">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20.3.2 争议的避免</w:t>
      </w:r>
    </w:p>
    <w:p w14:paraId="4FA95FFF">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发包人和承包人是否均出席争议避免的非正式讨论：</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 xml:space="preserve"> / </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4F7B4E2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20.3.3 争议评审小组的决定</w:t>
      </w:r>
    </w:p>
    <w:p w14:paraId="0DFFF9C1">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关于争议评审小组的决定的特别约定：</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按通用条款</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w:t>
      </w:r>
    </w:p>
    <w:p w14:paraId="598285B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t>20.4 仲裁或诉讼</w:t>
      </w:r>
    </w:p>
    <w:p w14:paraId="15868200">
      <w:pPr>
        <w:keepNext w:val="0"/>
        <w:keepLines w:val="0"/>
        <w:pageBreakBefore w:val="0"/>
        <w:widowControl w:val="0"/>
        <w:kinsoku/>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因合同及合同有关事项发生的争议，按下列第</w:t>
      </w:r>
      <w:r>
        <w:rPr>
          <w:rFonts w:hint="eastAsia" w:ascii="宋体" w:hAnsi="宋体" w:eastAsia="Arial" w:cs="宋体"/>
          <w:snapToGrid w:val="0"/>
          <w:color w:val="000000" w:themeColor="text1"/>
          <w:kern w:val="0"/>
          <w:szCs w:val="21"/>
          <w:highlight w:val="none"/>
          <w:u w:val="single"/>
          <w:lang w:eastAsia="en-US"/>
          <w14:textFill>
            <w14:solidFill>
              <w14:schemeClr w14:val="tx1"/>
            </w14:solidFill>
          </w14:textFill>
        </w:rPr>
        <w:t>（2）</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种方式解决：</w:t>
      </w:r>
    </w:p>
    <w:p w14:paraId="3A61379B">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（1）向</w:t>
      </w:r>
      <w:r>
        <w:rPr>
          <w:rFonts w:hint="eastAsia" w:ascii="宋体" w:hAnsi="宋体" w:eastAsia="Arial" w:cs="宋体"/>
          <w:b/>
          <w:snapToGrid w:val="0"/>
          <w:color w:val="000000" w:themeColor="text1"/>
          <w:kern w:val="0"/>
          <w:szCs w:val="21"/>
          <w:highlight w:val="none"/>
          <w:u w:val="single"/>
          <w:lang w:eastAsia="en-US"/>
          <w14:textFill>
            <w14:solidFill>
              <w14:schemeClr w14:val="tx1"/>
            </w14:solidFill>
          </w14:textFill>
        </w:rPr>
        <w:t>衢州</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仲裁委员会申请仲裁；</w:t>
      </w:r>
    </w:p>
    <w:p w14:paraId="6614F745">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（2）向</w:t>
      </w:r>
      <w:r>
        <w:rPr>
          <w:rFonts w:hint="eastAsia" w:ascii="宋体" w:hAnsi="宋体" w:eastAsia="Arial" w:cs="宋体"/>
          <w:b/>
          <w:snapToGrid w:val="0"/>
          <w:color w:val="000000" w:themeColor="text1"/>
          <w:kern w:val="0"/>
          <w:szCs w:val="21"/>
          <w:highlight w:val="none"/>
          <w:u w:val="single"/>
          <w:lang w:eastAsia="zh-CN"/>
          <w14:textFill>
            <w14:solidFill>
              <w14:schemeClr w14:val="tx1"/>
            </w14:solidFill>
          </w14:textFill>
        </w:rPr>
        <w:t>开化县</w:t>
      </w: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人民法院起诉。</w:t>
      </w:r>
    </w:p>
    <w:p w14:paraId="65DD3124">
      <w:pPr>
        <w:keepNext w:val="0"/>
        <w:keepLines w:val="0"/>
        <w:pageBreakBefore w:val="0"/>
        <w:widowControl/>
        <w:kinsoku w:val="0"/>
        <w:overflowPunct/>
        <w:topLine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0"/>
          <w:szCs w:val="21"/>
          <w:highlight w:val="none"/>
          <w:lang w:eastAsia="en-US"/>
          <w14:textFill>
            <w14:solidFill>
              <w14:schemeClr w14:val="tx1"/>
            </w14:solidFill>
          </w14:textFill>
        </w:rPr>
      </w:pPr>
      <w:r>
        <w:rPr>
          <w:rFonts w:hint="eastAsia" w:ascii="宋体" w:hAnsi="宋体" w:eastAsia="Arial" w:cs="宋体"/>
          <w:snapToGrid w:val="0"/>
          <w:color w:val="000000" w:themeColor="text1"/>
          <w:kern w:val="0"/>
          <w:szCs w:val="21"/>
          <w:highlight w:val="none"/>
          <w:lang w:eastAsia="en-US"/>
          <w14:textFill>
            <w14:solidFill>
              <w14:schemeClr w14:val="tx1"/>
            </w14:solidFill>
          </w14:textFill>
        </w:rPr>
        <w:t>由于一方违约行为导致诉讼的，违约方应当承担守约方因维护合法权益产生的一切费用，包括但不限于诉讼费、公证费等。</w:t>
      </w:r>
    </w:p>
    <w:p w14:paraId="5A357D15">
      <w:pPr>
        <w:keepNext w:val="0"/>
        <w:keepLines w:val="0"/>
        <w:pageBreakBefore w:val="0"/>
        <w:widowControl/>
        <w:kinsoku w:val="0"/>
        <w:overflowPunct/>
        <w:autoSpaceDE w:val="0"/>
        <w:autoSpaceDN w:val="0"/>
        <w:bidi w:val="0"/>
        <w:adjustRightInd w:val="0"/>
        <w:snapToGrid w:val="0"/>
        <w:spacing w:line="400" w:lineRule="exact"/>
        <w:jc w:val="left"/>
        <w:textAlignment w:val="baseline"/>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kern w:val="1"/>
          <w:szCs w:val="21"/>
          <w:highlight w:val="none"/>
          <w:lang w:eastAsia="zh-CN"/>
          <w14:textFill>
            <w14:solidFill>
              <w14:schemeClr w14:val="tx1"/>
            </w14:solidFill>
          </w14:textFill>
        </w:rPr>
        <w:t>第</w:t>
      </w:r>
      <w:r>
        <w:rPr>
          <w:rFonts w:hint="eastAsia" w:ascii="宋体" w:hAnsi="宋体" w:eastAsia="宋体" w:cs="宋体"/>
          <w:b/>
          <w:bCs/>
          <w:snapToGrid w:val="0"/>
          <w:color w:val="000000" w:themeColor="text1"/>
          <w:kern w:val="1"/>
          <w:szCs w:val="21"/>
          <w:highlight w:val="none"/>
          <w:lang w:val="en-US" w:eastAsia="zh-CN"/>
          <w14:textFill>
            <w14:solidFill>
              <w14:schemeClr w14:val="tx1"/>
            </w14:solidFill>
          </w14:textFill>
        </w:rPr>
        <w:t xml:space="preserve">21条 </w:t>
      </w: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其它</w:t>
      </w:r>
    </w:p>
    <w:p w14:paraId="25F45D8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21.1工程投资控制</w:t>
      </w:r>
    </w:p>
    <w:p w14:paraId="0FFF0303">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t>21.1.1承包人按照招标文件和合同约定的投资限额，实行限额设计，控制初步设计概算。</w:t>
      </w:r>
    </w:p>
    <w:p w14:paraId="52007491">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21.2风险承担</w:t>
      </w:r>
    </w:p>
    <w:p w14:paraId="254AACF6">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t>21.2.1承包人未能完全履行总承包合同，擅自变更建设内容、建设规模、建设标准，致使工期延长、投资增加或工程质量不合格，所造成的损失或投资增加额按合同约定由承包人承担。</w:t>
      </w:r>
    </w:p>
    <w:p w14:paraId="451BECFA">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pPr>
      <w:r>
        <w:rPr>
          <w:rFonts w:hint="eastAsia" w:ascii="宋体" w:hAnsi="宋体" w:eastAsia="Arial" w:cs="宋体"/>
          <w:b/>
          <w:bCs/>
          <w:snapToGrid w:val="0"/>
          <w:color w:val="000000" w:themeColor="text1"/>
          <w:kern w:val="1"/>
          <w:szCs w:val="21"/>
          <w:highlight w:val="none"/>
          <w:lang w:eastAsia="en-US"/>
          <w14:textFill>
            <w14:solidFill>
              <w14:schemeClr w14:val="tx1"/>
            </w14:solidFill>
          </w14:textFill>
        </w:rPr>
        <w:t>21.3工程安全生产、文明施工管理目标</w:t>
      </w:r>
    </w:p>
    <w:p w14:paraId="47536A3B">
      <w:pPr>
        <w:keepNext w:val="0"/>
        <w:keepLines w:val="0"/>
        <w:pageBreakBefore w:val="0"/>
        <w:widowControl/>
        <w:kinsoku w:val="0"/>
        <w:overflowPunct/>
        <w:autoSpaceDE w:val="0"/>
        <w:autoSpaceDN w:val="0"/>
        <w:bidi w:val="0"/>
        <w:adjustRightInd w:val="0"/>
        <w:snapToGrid w:val="0"/>
        <w:spacing w:line="400" w:lineRule="exact"/>
        <w:ind w:firstLine="420" w:firstLineChars="200"/>
        <w:jc w:val="left"/>
        <w:textAlignment w:val="baseline"/>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pPr>
      <w:r>
        <w:rPr>
          <w:rFonts w:hint="eastAsia" w:ascii="宋体" w:hAnsi="宋体" w:eastAsia="Arial" w:cs="宋体"/>
          <w:snapToGrid w:val="0"/>
          <w:color w:val="000000" w:themeColor="text1"/>
          <w:kern w:val="1"/>
          <w:szCs w:val="21"/>
          <w:highlight w:val="none"/>
          <w:u w:val="single"/>
          <w:lang w:eastAsia="en-US"/>
          <w14:textFill>
            <w14:solidFill>
              <w14:schemeClr w14:val="tx1"/>
            </w14:solidFill>
          </w14:textFill>
        </w:rPr>
        <w:t>21.3.1承包人应严格按照国家《建设工程安全生产管理条例》和地方有关规定做好项目建设全过程安全生产、文明施工管理工作。</w:t>
      </w:r>
    </w:p>
    <w:p w14:paraId="2BFE71D4">
      <w:pPr>
        <w:pageBreakBefore w:val="0"/>
        <w:overflowPunct/>
        <w:bidi w:val="0"/>
        <w:spacing w:line="400" w:lineRule="exact"/>
        <w:ind w:firstLine="420" w:firstLineChars="200"/>
        <w:rPr>
          <w:rFonts w:ascii="宋体" w:hAnsi="宋体"/>
          <w:szCs w:val="21"/>
          <w:highlight w:val="none"/>
        </w:rPr>
      </w:pPr>
      <w:r>
        <w:rPr>
          <w:rFonts w:hint="eastAsia" w:ascii="宋体" w:hAnsi="宋体" w:eastAsia="Arial" w:cs="宋体"/>
          <w:snapToGrid w:val="0"/>
          <w:color w:val="000000" w:themeColor="text1"/>
          <w:kern w:val="1"/>
          <w:szCs w:val="21"/>
          <w:highlight w:val="none"/>
          <w:lang w:eastAsia="en-US"/>
          <w14:textFill>
            <w14:solidFill>
              <w14:schemeClr w14:val="tx1"/>
            </w14:solidFill>
          </w14:textFill>
        </w:rPr>
        <w:t>21.3.2在项目管理团队中落实专人负责安全文明施工管理工作，通过合同管理，督促施工单位健全安全责任制度，落实安全施工措施，实现安全生产专项费用专款专用，确保安全文明施工。</w:t>
      </w:r>
    </w:p>
    <w:p w14:paraId="63AEDAD9">
      <w:pPr>
        <w:spacing w:line="300" w:lineRule="auto"/>
        <w:rPr>
          <w:rFonts w:ascii="宋体" w:hAnsi="宋体"/>
          <w:szCs w:val="21"/>
          <w:highlight w:val="none"/>
        </w:rPr>
      </w:pPr>
      <w:r>
        <w:rPr>
          <w:rFonts w:ascii="宋体" w:hAnsi="宋体"/>
          <w:b/>
          <w:sz w:val="28"/>
          <w:szCs w:val="28"/>
          <w:highlight w:val="none"/>
        </w:rPr>
        <w:br w:type="page"/>
      </w:r>
    </w:p>
    <w:p w14:paraId="188054CD">
      <w:pPr>
        <w:pStyle w:val="3"/>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第</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四</w:t>
      </w:r>
      <w:r>
        <w:rPr>
          <w:rFonts w:hint="eastAsia" w:ascii="宋体" w:hAnsi="宋体" w:eastAsia="宋体" w:cs="宋体"/>
          <w:b/>
          <w:bCs/>
          <w:color w:val="000000" w:themeColor="text1"/>
          <w:sz w:val="32"/>
          <w:szCs w:val="32"/>
          <w:highlight w:val="none"/>
          <w:lang w:eastAsia="zh-CN"/>
          <w14:textFill>
            <w14:solidFill>
              <w14:schemeClr w14:val="tx1"/>
            </w14:solidFill>
          </w14:textFill>
        </w:rPr>
        <w:t>部分</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ascii="宋体" w:hAnsi="宋体" w:eastAsia="宋体" w:cs="宋体"/>
          <w:b/>
          <w:bCs/>
          <w:color w:val="000000" w:themeColor="text1"/>
          <w:sz w:val="32"/>
          <w:szCs w:val="32"/>
          <w:highlight w:val="none"/>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合同附件格式</w:t>
      </w:r>
    </w:p>
    <w:p w14:paraId="5B37E032">
      <w:pPr>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highlight w:val="none"/>
        </w:rPr>
        <w:br w:type="page"/>
      </w:r>
      <w:r>
        <w:rPr>
          <w:rFonts w:hint="eastAsia" w:ascii="宋体" w:hAnsi="宋体" w:eastAsia="宋体" w:cs="宋体"/>
          <w:b/>
          <w:bCs/>
          <w:color w:val="000000" w:themeColor="text1"/>
          <w:sz w:val="24"/>
          <w:szCs w:val="24"/>
          <w:highlight w:val="none"/>
          <w14:textFill>
            <w14:solidFill>
              <w14:schemeClr w14:val="tx1"/>
            </w14:solidFill>
          </w14:textFill>
        </w:rPr>
        <w:t>附件一：履约担保格式</w:t>
      </w:r>
    </w:p>
    <w:p w14:paraId="36831746">
      <w:pPr>
        <w:spacing w:line="400" w:lineRule="exact"/>
        <w:rPr>
          <w:rFonts w:hint="eastAsia" w:ascii="宋体" w:hAnsi="宋体" w:cs="宋体"/>
          <w:color w:val="000000" w:themeColor="text1"/>
          <w:highlight w:val="none"/>
          <w14:textFill>
            <w14:solidFill>
              <w14:schemeClr w14:val="tx1"/>
            </w14:solidFill>
          </w14:textFill>
        </w:rPr>
      </w:pPr>
    </w:p>
    <w:p w14:paraId="179B9523">
      <w:pPr>
        <w:spacing w:line="440" w:lineRule="exact"/>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履约担保</w:t>
      </w:r>
    </w:p>
    <w:p w14:paraId="41D13048">
      <w:pPr>
        <w:spacing w:line="440" w:lineRule="exact"/>
        <w:rPr>
          <w:rFonts w:hint="eastAsia" w:ascii="宋体" w:hAnsi="宋体" w:cs="宋体"/>
          <w:color w:val="000000" w:themeColor="text1"/>
          <w:sz w:val="20"/>
          <w:szCs w:val="20"/>
          <w:highlight w:val="none"/>
          <w14:textFill>
            <w14:solidFill>
              <w14:schemeClr w14:val="tx1"/>
            </w14:solidFill>
          </w14:textFill>
        </w:rPr>
      </w:pPr>
    </w:p>
    <w:p w14:paraId="6AF88304">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039B5BA8">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鉴于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发包人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）接受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承包人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日参加</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（项目名称）的投标。我方愿意就承包人履行与你方订立的合同，向你方提供担保。 </w:t>
      </w:r>
    </w:p>
    <w:p w14:paraId="0187DE7E">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 担保金额人民币（大写）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22A3D47A">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 担保有效期自发包人与承包人签订的合同生效之日起至发包人签发工程接收证书之日止。</w:t>
      </w:r>
    </w:p>
    <w:p w14:paraId="4BB66886">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 担保有效期自发包人与承包人签订的合同生效之日起至承包人通过竣工后试验之日止。</w:t>
      </w:r>
    </w:p>
    <w:p w14:paraId="2B375AD9">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 在本担保有效期内，因承包人违反合同约定的义务给你方造成经济损失时，我方在收到你方以书面形式提出的在担保金额内的赔偿要求后，在7</w:t>
      </w:r>
      <w:r>
        <w:rPr>
          <w:rFonts w:hint="eastAsia" w:ascii="宋体" w:hAnsi="宋体" w:cs="宋体"/>
          <w:color w:val="000000" w:themeColor="text1"/>
          <w:szCs w:val="21"/>
          <w:highlight w:val="none"/>
          <w:lang w:eastAsia="zh-CN"/>
          <w14:textFill>
            <w14:solidFill>
              <w14:schemeClr w14:val="tx1"/>
            </w14:solidFill>
          </w14:textFill>
        </w:rPr>
        <w:t>日</w:t>
      </w:r>
      <w:r>
        <w:rPr>
          <w:rFonts w:hint="eastAsia" w:ascii="宋体" w:hAnsi="宋体" w:cs="宋体"/>
          <w:color w:val="000000" w:themeColor="text1"/>
          <w:szCs w:val="21"/>
          <w:highlight w:val="none"/>
          <w14:textFill>
            <w14:solidFill>
              <w14:schemeClr w14:val="tx1"/>
            </w14:solidFill>
          </w14:textFill>
        </w:rPr>
        <w:t>内支付。</w:t>
      </w:r>
    </w:p>
    <w:p w14:paraId="1E20C4E5">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4. 发包人和承包人按《通用合同条款》第15条变更合同时，我方承担本担保规定的义务不变。</w:t>
      </w:r>
    </w:p>
    <w:p w14:paraId="54F47599">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p>
    <w:p w14:paraId="62BB2BE1">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47BC5EE3">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担 保 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（盖单位章）</w:t>
      </w:r>
    </w:p>
    <w:p w14:paraId="2A28495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法定代表人或其委托代理人：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1FAF4704">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地    址：</w:t>
      </w:r>
      <w:r>
        <w:rPr>
          <w:rFonts w:hint="eastAsia" w:ascii="宋体" w:hAnsi="宋体" w:cs="宋体"/>
          <w:color w:val="000000" w:themeColor="text1"/>
          <w:szCs w:val="21"/>
          <w:highlight w:val="none"/>
          <w:u w:val="single"/>
          <w14:textFill>
            <w14:solidFill>
              <w14:schemeClr w14:val="tx1"/>
            </w14:solidFill>
          </w14:textFill>
        </w:rPr>
        <w:t xml:space="preserve">                                    </w:t>
      </w:r>
    </w:p>
    <w:p w14:paraId="1957DD81">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p>
    <w:p w14:paraId="37FA5467">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电    话：</w:t>
      </w:r>
      <w:r>
        <w:rPr>
          <w:rFonts w:hint="eastAsia" w:ascii="宋体" w:hAnsi="宋体" w:cs="宋体"/>
          <w:color w:val="000000" w:themeColor="text1"/>
          <w:szCs w:val="21"/>
          <w:highlight w:val="none"/>
          <w:u w:val="single"/>
          <w14:textFill>
            <w14:solidFill>
              <w14:schemeClr w14:val="tx1"/>
            </w14:solidFill>
          </w14:textFill>
        </w:rPr>
        <w:t xml:space="preserve">                                   </w:t>
      </w:r>
    </w:p>
    <w:p w14:paraId="01815092">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82FE70E">
      <w:pPr>
        <w:rPr>
          <w:rFonts w:ascii="宋体" w:hAnsi="宋体"/>
          <w:highlight w:val="none"/>
        </w:rPr>
      </w:pPr>
      <w:r>
        <w:rPr>
          <w:rFonts w:ascii="宋体" w:hAnsi="宋体"/>
          <w:highlight w:val="none"/>
        </w:rPr>
        <w:br w:type="page"/>
      </w:r>
    </w:p>
    <w:p w14:paraId="6775CD7B">
      <w:pPr>
        <w:pStyle w:val="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附件二：预付款担保格式</w:t>
      </w:r>
    </w:p>
    <w:p w14:paraId="231821A3">
      <w:pPr>
        <w:spacing w:line="400" w:lineRule="exact"/>
        <w:rPr>
          <w:rFonts w:hint="eastAsia" w:ascii="宋体" w:hAnsi="宋体" w:cs="宋体"/>
          <w:color w:val="000000" w:themeColor="text1"/>
          <w:highlight w:val="none"/>
          <w14:textFill>
            <w14:solidFill>
              <w14:schemeClr w14:val="tx1"/>
            </w14:solidFill>
          </w14:textFill>
        </w:rPr>
      </w:pPr>
    </w:p>
    <w:p w14:paraId="645EFE22">
      <w:pPr>
        <w:spacing w:line="440" w:lineRule="exact"/>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预付款担保</w:t>
      </w:r>
    </w:p>
    <w:p w14:paraId="46820C69">
      <w:pPr>
        <w:spacing w:line="440" w:lineRule="exact"/>
        <w:rPr>
          <w:rFonts w:hint="eastAsia" w:ascii="宋体" w:hAnsi="宋体" w:cs="宋体"/>
          <w:color w:val="000000" w:themeColor="text1"/>
          <w:sz w:val="20"/>
          <w:szCs w:val="20"/>
          <w:highlight w:val="none"/>
          <w14:textFill>
            <w14:solidFill>
              <w14:schemeClr w14:val="tx1"/>
            </w14:solidFill>
          </w14:textFill>
        </w:rPr>
      </w:pPr>
    </w:p>
    <w:p w14:paraId="6FAD1018">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（发包人名称）：</w:t>
      </w:r>
    </w:p>
    <w:p w14:paraId="3D7E783C">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根据</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承包人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发包人</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日签订的</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（项目名称）设计施工总承包合同，承包人按约定的金额向发包人提交一份预付款担保，即有权得到发包人支付相等金额的预付款。我方愿意就你方提供给承包人的预付款提供担保。</w:t>
      </w:r>
    </w:p>
    <w:p w14:paraId="0EFF89A8">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1. 担保金额人民币（大写）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55B7D7C8">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2. 担保有效期自预付款支付给承包人起生效，至发包人签发的进度付款证书说明预付款已完全扣清止。</w:t>
      </w:r>
    </w:p>
    <w:p w14:paraId="3E556C20">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3. 在本保函有效期内，因承包人违反合同约定的义务而要求收回预付款时，我方在收到你方的书面通知后，在７</w:t>
      </w:r>
      <w:r>
        <w:rPr>
          <w:rFonts w:hint="eastAsia" w:ascii="宋体" w:hAnsi="宋体" w:cs="宋体"/>
          <w:color w:val="000000" w:themeColor="text1"/>
          <w:szCs w:val="21"/>
          <w:highlight w:val="none"/>
          <w:lang w:eastAsia="zh-CN"/>
          <w14:textFill>
            <w14:solidFill>
              <w14:schemeClr w14:val="tx1"/>
            </w14:solidFill>
          </w14:textFill>
        </w:rPr>
        <w:t>日</w:t>
      </w:r>
      <w:r>
        <w:rPr>
          <w:rFonts w:hint="eastAsia" w:ascii="宋体" w:hAnsi="宋体" w:cs="宋体"/>
          <w:color w:val="000000" w:themeColor="text1"/>
          <w:szCs w:val="21"/>
          <w:highlight w:val="none"/>
          <w14:textFill>
            <w14:solidFill>
              <w14:schemeClr w14:val="tx1"/>
            </w14:solidFill>
          </w14:textFill>
        </w:rPr>
        <w:t>内支付。但本保函的担保金额，在任何时候不应超过预付款金额减去发包人按合同约定在向承包人签发的进度付款证书中扣除的金额。</w:t>
      </w:r>
    </w:p>
    <w:p w14:paraId="42DE6EA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4.发包人和承包人按《通用合同条款》第15条变更合同时，我方承担本保函规定的义务不变。</w:t>
      </w:r>
    </w:p>
    <w:p w14:paraId="213C6264">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p>
    <w:p w14:paraId="4632AC0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15B30DA2">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担保人：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（盖单位章）</w:t>
      </w:r>
    </w:p>
    <w:p w14:paraId="58CFBC19">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法定代表人或授权人：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（签字）</w:t>
      </w:r>
    </w:p>
    <w:p w14:paraId="5D05AB4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 xml:space="preserve">        </w:t>
      </w:r>
    </w:p>
    <w:p w14:paraId="016AB39A">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5420D92">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电    话：</w:t>
      </w:r>
      <w:r>
        <w:rPr>
          <w:rFonts w:hint="eastAsia" w:ascii="宋体" w:hAnsi="宋体" w:cs="宋体"/>
          <w:color w:val="000000" w:themeColor="text1"/>
          <w:szCs w:val="21"/>
          <w:highlight w:val="none"/>
          <w:u w:val="single"/>
          <w14:textFill>
            <w14:solidFill>
              <w14:schemeClr w14:val="tx1"/>
            </w14:solidFill>
          </w14:textFill>
        </w:rPr>
        <w:t xml:space="preserve">                            </w:t>
      </w:r>
    </w:p>
    <w:p w14:paraId="1834CFB0">
      <w:pPr>
        <w:keepNext w:val="0"/>
        <w:keepLines w:val="0"/>
        <w:pageBreakBefore w:val="0"/>
        <w:widowControl/>
        <w:kinsoku w:val="0"/>
        <w:wordWrap/>
        <w:overflowPunct/>
        <w:topLinePunct w:val="0"/>
        <w:autoSpaceDE w:val="0"/>
        <w:autoSpaceDN w:val="0"/>
        <w:bidi w:val="0"/>
        <w:adjustRightInd w:val="0"/>
        <w:snapToGrid w:val="0"/>
        <w:spacing w:line="440" w:lineRule="exact"/>
        <w:ind w:firstLine="420" w:firstLineChars="200"/>
        <w:textAlignment w:val="baseline"/>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2EEEE11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b/>
          <w:bCs/>
          <w:color w:val="000000" w:themeColor="text1"/>
          <w:sz w:val="24"/>
          <w:highlight w:val="none"/>
          <w14:textFill>
            <w14:solidFill>
              <w14:schemeClr w14:val="tx1"/>
            </w14:solidFill>
          </w14:textFill>
        </w:rPr>
        <w:t>附件三：</w:t>
      </w:r>
    </w:p>
    <w:p w14:paraId="3251BD7E">
      <w:pPr>
        <w:widowControl/>
        <w:adjustRightInd w:val="0"/>
        <w:snapToGrid w:val="0"/>
        <w:spacing w:before="120" w:beforeLines="50" w:after="120" w:afterLines="50"/>
        <w:jc w:val="center"/>
        <w:rPr>
          <w:rFonts w:ascii="宋体" w:hAnsi="宋体" w:cs="宋体"/>
          <w:b/>
          <w:color w:val="000000" w:themeColor="text1"/>
          <w:kern w:val="0"/>
          <w:sz w:val="30"/>
          <w:szCs w:val="30"/>
          <w:highlight w:val="none"/>
          <w14:textFill>
            <w14:solidFill>
              <w14:schemeClr w14:val="tx1"/>
            </w14:solidFill>
          </w14:textFill>
        </w:rPr>
      </w:pPr>
      <w:r>
        <w:rPr>
          <w:rFonts w:hint="eastAsia" w:ascii="宋体" w:hAnsi="宋体" w:cs="宋体"/>
          <w:b/>
          <w:color w:val="000000" w:themeColor="text1"/>
          <w:kern w:val="0"/>
          <w:sz w:val="30"/>
          <w:szCs w:val="30"/>
          <w:highlight w:val="none"/>
          <w14:textFill>
            <w14:solidFill>
              <w14:schemeClr w14:val="tx1"/>
            </w14:solidFill>
          </w14:textFill>
        </w:rPr>
        <w:t>工程质量保修书</w:t>
      </w:r>
    </w:p>
    <w:p w14:paraId="52EC3757">
      <w:pPr>
        <w:keepNext w:val="0"/>
        <w:keepLines w:val="0"/>
        <w:pageBreakBefore w:val="0"/>
        <w:widowControl/>
        <w:wordWrap/>
        <w:overflowPunct/>
        <w:topLinePunct w:val="0"/>
        <w:bidi w:val="0"/>
        <w:adjustRightInd w:val="0"/>
        <w:snapToGrid w:val="0"/>
        <w:spacing w:line="440" w:lineRule="exact"/>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发包人：（简称甲方）</w:t>
      </w:r>
    </w:p>
    <w:p w14:paraId="46205D7D">
      <w:pPr>
        <w:keepNext w:val="0"/>
        <w:keepLines w:val="0"/>
        <w:pageBreakBefore w:val="0"/>
        <w:widowControl/>
        <w:wordWrap/>
        <w:overflowPunct/>
        <w:topLinePunct w:val="0"/>
        <w:bidi w:val="0"/>
        <w:adjustRightInd w:val="0"/>
        <w:snapToGrid w:val="0"/>
        <w:spacing w:line="44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承包人：（简称乙方）</w:t>
      </w:r>
    </w:p>
    <w:p w14:paraId="6894121C">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发包人和承包人根据《中华人民共和国建筑法》和《建设工程质量管理条例》，经协商一致就</w:t>
      </w:r>
      <w:r>
        <w:rPr>
          <w:rFonts w:hint="eastAsia" w:ascii="宋体" w:hAnsi="宋体" w:cs="宋体"/>
          <w:color w:val="000000" w:themeColor="text1"/>
          <w:kern w:val="0"/>
          <w:szCs w:val="21"/>
          <w:highlight w:val="none"/>
          <w:u w:val="single"/>
          <w14:textFill>
            <w14:solidFill>
              <w14:schemeClr w14:val="tx1"/>
            </w14:solidFill>
          </w14:textFill>
        </w:rPr>
        <w:t xml:space="preserve">    （工程全称）</w:t>
      </w:r>
      <w:r>
        <w:rPr>
          <w:rFonts w:hint="eastAsia" w:ascii="宋体" w:hAnsi="宋体" w:cs="宋体"/>
          <w:color w:val="000000" w:themeColor="text1"/>
          <w:kern w:val="0"/>
          <w:szCs w:val="21"/>
          <w:highlight w:val="none"/>
          <w14:textFill>
            <w14:solidFill>
              <w14:schemeClr w14:val="tx1"/>
            </w14:solidFill>
          </w14:textFill>
        </w:rPr>
        <w:t>签订工程质量保修书。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承包人完成的所有工程。</w:t>
      </w:r>
    </w:p>
    <w:p w14:paraId="2A7FADD1">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一、工程质量保修范围和内容</w:t>
      </w:r>
    </w:p>
    <w:p w14:paraId="37FE29FD">
      <w:pPr>
        <w:keepNext w:val="0"/>
        <w:keepLines w:val="0"/>
        <w:pageBreakBefore w:val="0"/>
        <w:widowControl/>
        <w:wordWrap/>
        <w:overflowPunct/>
        <w:topLinePunct w:val="0"/>
        <w:bidi w:val="0"/>
        <w:adjustRightInd w:val="0"/>
        <w:snapToGrid w:val="0"/>
        <w:spacing w:line="440" w:lineRule="exact"/>
        <w:ind w:left="8400" w:leftChars="200" w:hanging="7980" w:hangingChars="38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承包人在质量保修期内，按照有关法律规定和合同约定，承担工程质量保修责任。</w:t>
      </w:r>
    </w:p>
    <w:p w14:paraId="1E9A37A5">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二、质量保修期</w:t>
      </w:r>
    </w:p>
    <w:p w14:paraId="7403C36D">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根据《建设工程质量管理条例》及有关规定，工程的质量保修期如下：</w:t>
      </w:r>
    </w:p>
    <w:p w14:paraId="14F73224">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1．地基基础工程和主体结构工程为设计文件规定的工程合理使用年限；</w:t>
      </w:r>
    </w:p>
    <w:p w14:paraId="468F1914">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2．屋面防水工程、有防水要求的卫生间、房间和外墙面的防渗为</w:t>
      </w:r>
      <w:r>
        <w:rPr>
          <w:rFonts w:hint="eastAsia" w:ascii="宋体" w:hAnsi="宋体" w:cs="宋体"/>
          <w:color w:val="000000" w:themeColor="text1"/>
          <w:kern w:val="0"/>
          <w:szCs w:val="21"/>
          <w:highlight w:val="none"/>
          <w:u w:val="single"/>
          <w14:textFill>
            <w14:solidFill>
              <w14:schemeClr w14:val="tx1"/>
            </w14:solidFill>
          </w14:textFill>
        </w:rPr>
        <w:t xml:space="preserve"> 5 </w:t>
      </w:r>
      <w:r>
        <w:rPr>
          <w:rFonts w:hint="eastAsia" w:ascii="宋体" w:hAnsi="宋体" w:cs="宋体"/>
          <w:color w:val="000000" w:themeColor="text1"/>
          <w:kern w:val="0"/>
          <w:szCs w:val="21"/>
          <w:highlight w:val="none"/>
          <w14:textFill>
            <w14:solidFill>
              <w14:schemeClr w14:val="tx1"/>
            </w14:solidFill>
          </w14:textFill>
        </w:rPr>
        <w:t>年；</w:t>
      </w:r>
    </w:p>
    <w:p w14:paraId="4FE2DE96">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3．装修工程为</w:t>
      </w:r>
      <w:r>
        <w:rPr>
          <w:rFonts w:hint="eastAsia" w:ascii="宋体" w:hAnsi="宋体" w:cs="宋体"/>
          <w:color w:val="000000" w:themeColor="text1"/>
          <w:kern w:val="0"/>
          <w:szCs w:val="21"/>
          <w:highlight w:val="none"/>
          <w:u w:val="single"/>
          <w14:textFill>
            <w14:solidFill>
              <w14:schemeClr w14:val="tx1"/>
            </w14:solidFill>
          </w14:textFill>
        </w:rPr>
        <w:t xml:space="preserve"> 2</w:t>
      </w:r>
      <w:r>
        <w:rPr>
          <w:rFonts w:hint="eastAsia" w:ascii="宋体" w:hAnsi="宋体" w:eastAsia="宋体" w:cs="宋体"/>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年；</w:t>
      </w:r>
    </w:p>
    <w:p w14:paraId="5D4706AD">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4．电气管线、给排水管道、设备安装工程为</w:t>
      </w:r>
      <w:r>
        <w:rPr>
          <w:rFonts w:hint="eastAsia" w:ascii="宋体" w:hAnsi="宋体" w:cs="宋体"/>
          <w:color w:val="000000" w:themeColor="text1"/>
          <w:kern w:val="0"/>
          <w:szCs w:val="21"/>
          <w:highlight w:val="none"/>
          <w:u w:val="single"/>
          <w14:textFill>
            <w14:solidFill>
              <w14:schemeClr w14:val="tx1"/>
            </w14:solidFill>
          </w14:textFill>
        </w:rPr>
        <w:t xml:space="preserve"> 2 </w:t>
      </w:r>
      <w:r>
        <w:rPr>
          <w:rFonts w:hint="eastAsia" w:ascii="宋体" w:hAnsi="宋体" w:cs="宋体"/>
          <w:color w:val="000000" w:themeColor="text1"/>
          <w:kern w:val="0"/>
          <w:szCs w:val="21"/>
          <w:highlight w:val="none"/>
          <w14:textFill>
            <w14:solidFill>
              <w14:schemeClr w14:val="tx1"/>
            </w14:solidFill>
          </w14:textFill>
        </w:rPr>
        <w:t>年；</w:t>
      </w:r>
    </w:p>
    <w:p w14:paraId="5686C259">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5．供热与供冷系统为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val="en-US" w:eastAsia="zh-CN"/>
          <w14:textFill>
            <w14:solidFill>
              <w14:schemeClr w14:val="tx1"/>
            </w14:solidFill>
          </w14:textFill>
        </w:rPr>
        <w:t>2</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个采暖期、供冷期；</w:t>
      </w:r>
    </w:p>
    <w:p w14:paraId="32607217">
      <w:pPr>
        <w:keepNext w:val="0"/>
        <w:keepLines w:val="0"/>
        <w:pageBreakBefore w:val="0"/>
        <w:widowControl/>
        <w:wordWrap/>
        <w:overflowPunct/>
        <w:topLinePunct w:val="0"/>
        <w:bidi w:val="0"/>
        <w:adjustRightInd w:val="0"/>
        <w:snapToGrid w:val="0"/>
        <w:spacing w:line="440" w:lineRule="exact"/>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6. </w:t>
      </w:r>
      <w:r>
        <w:rPr>
          <w:rFonts w:hint="eastAsia" w:ascii="宋体" w:hAnsi="宋体" w:cs="宋体"/>
          <w:color w:val="auto"/>
          <w:kern w:val="0"/>
          <w:szCs w:val="21"/>
          <w:highlight w:val="none"/>
          <w:lang w:val="en-US" w:eastAsia="zh-CN"/>
        </w:rPr>
        <w:t>其他项目保修期限约定均为2年。材料、设备保修期限具体以承包人投标时的承诺为准，不少于2年。绿化工程养护至竣工验收合格后满2年，并完成接养手续为止。</w:t>
      </w:r>
    </w:p>
    <w:p w14:paraId="245D64DB">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按国家有关规定执行,质量保修期自工程竣工验收合格之日起计算</w:t>
      </w:r>
      <w:r>
        <w:rPr>
          <w:rFonts w:hint="eastAsia" w:ascii="宋体" w:hAnsi="宋体" w:cs="宋体"/>
          <w:color w:val="000000" w:themeColor="text1"/>
          <w:kern w:val="0"/>
          <w:szCs w:val="21"/>
          <w:highlight w:val="none"/>
          <w14:textFill>
            <w14:solidFill>
              <w14:schemeClr w14:val="tx1"/>
            </w14:solidFill>
          </w14:textFill>
        </w:rPr>
        <w:t>。</w:t>
      </w:r>
    </w:p>
    <w:p w14:paraId="06EA5D21">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三、缺陷责任期                                                                                                                                                                                                                                                                                                                                                                                                                                                                                                                                                                                                                                                                                                                                                                                                                                                                                                                                                                                                                                                                                                                                                                                                                                                                                                                                                                                                                                                                                                                                                                                                                                                                                                                                                                                                                                                                                                                                                                                                                                                                                                                                                                                                                                                                                                                                                                                                                                                                                                                                                                                                                                                                                                                                                                                                                                                                                                                                                                                                                                                                                                                                                                                                                                                                                                                                                                                                                                                                                                                                                                                                                                                                                                                                                                                                                                                                                                                                                                                                                                                                                                                                                                                                         </w:t>
      </w:r>
    </w:p>
    <w:p w14:paraId="7F9AEF1A">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工程缺陷责任期为</w:t>
      </w:r>
      <w:r>
        <w:rPr>
          <w:rFonts w:hint="eastAsia" w:ascii="宋体" w:hAnsi="宋体" w:cs="宋体"/>
          <w:color w:val="000000" w:themeColor="text1"/>
          <w:kern w:val="0"/>
          <w:szCs w:val="21"/>
          <w:highlight w:val="none"/>
          <w:u w:val="single"/>
          <w14:textFill>
            <w14:solidFill>
              <w14:schemeClr w14:val="tx1"/>
            </w14:solidFill>
          </w14:textFill>
        </w:rPr>
        <w:t xml:space="preserve"> 24 个月，缺陷责任期自工程竣工验收合格之日起计算</w:t>
      </w:r>
      <w:r>
        <w:rPr>
          <w:rFonts w:hint="eastAsia" w:ascii="宋体" w:hAnsi="宋体" w:cs="宋体"/>
          <w:color w:val="000000" w:themeColor="text1"/>
          <w:kern w:val="0"/>
          <w:szCs w:val="21"/>
          <w:highlight w:val="none"/>
          <w14:textFill>
            <w14:solidFill>
              <w14:schemeClr w14:val="tx1"/>
            </w14:solidFill>
          </w14:textFill>
        </w:rPr>
        <w:t>。单位工程先于全部工程进行验收，单位工程缺陷责任期自单位工程验收合格之日起算。</w:t>
      </w:r>
    </w:p>
    <w:p w14:paraId="6FA1AA47">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四、质量保修责任</w:t>
      </w:r>
    </w:p>
    <w:p w14:paraId="714F8D14">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1．属于保修范围、内容的项目，承包人应当在接到保修通知之日起7日历天内派人保修。</w:t>
      </w:r>
    </w:p>
    <w:p w14:paraId="12F1B6E9">
      <w:pPr>
        <w:keepNext w:val="0"/>
        <w:keepLines w:val="0"/>
        <w:pageBreakBefore w:val="0"/>
        <w:widowControl/>
        <w:wordWrap/>
        <w:overflowPunct/>
        <w:topLinePunct w:val="0"/>
        <w:bidi w:val="0"/>
        <w:adjustRightInd w:val="0"/>
        <w:snapToGrid w:val="0"/>
        <w:spacing w:line="44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承包人不在约定期限内派人保修的，发包人可以委托他人修理。</w:t>
      </w:r>
    </w:p>
    <w:p w14:paraId="411BA611">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2．发生紧急事故需抢修的，承包人在接到事故通知后，应当立即到达事故现场抢修。</w:t>
      </w:r>
    </w:p>
    <w:p w14:paraId="4D2F5D34">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3．对于涉及结构安全的质量问题，应当按照《建设工程质量管理条例》的规定，立即</w:t>
      </w:r>
    </w:p>
    <w:p w14:paraId="3EAA37C0">
      <w:pPr>
        <w:keepNext w:val="0"/>
        <w:keepLines w:val="0"/>
        <w:pageBreakBefore w:val="0"/>
        <w:widowControl/>
        <w:wordWrap/>
        <w:overflowPunct/>
        <w:topLinePunct w:val="0"/>
        <w:bidi w:val="0"/>
        <w:adjustRightInd w:val="0"/>
        <w:snapToGrid w:val="0"/>
        <w:spacing w:line="44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向当地建设行政主管部门和有关部门报告，采取安全防范措施，并由原设计人或者具有相应资质等级的设计人提出保修方案，承包人实施保修。</w:t>
      </w:r>
    </w:p>
    <w:p w14:paraId="7FA8A3BA">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4．质量保修完成后，由发包人组织验收。</w:t>
      </w:r>
    </w:p>
    <w:p w14:paraId="1E06FE69">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五、保修费用</w:t>
      </w:r>
    </w:p>
    <w:p w14:paraId="354B551B">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保修费用由造成质量缺陷的责任方承担。</w:t>
      </w:r>
    </w:p>
    <w:p w14:paraId="609B0F8A">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六、双方约定的其他工程质量保修事项</w:t>
      </w:r>
    </w:p>
    <w:p w14:paraId="615F83FE">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工程质量保修书由发包人、承包人在工程竣工验收前共同签署，作为施工合同附件其</w:t>
      </w:r>
    </w:p>
    <w:p w14:paraId="097B3944">
      <w:pPr>
        <w:keepNext w:val="0"/>
        <w:keepLines w:val="0"/>
        <w:pageBreakBefore w:val="0"/>
        <w:widowControl/>
        <w:wordWrap/>
        <w:overflowPunct/>
        <w:topLinePunct w:val="0"/>
        <w:bidi w:val="0"/>
        <w:adjustRightInd w:val="0"/>
        <w:snapToGrid w:val="0"/>
        <w:spacing w:line="440" w:lineRule="exac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有效期限至保修期满。</w:t>
      </w:r>
    </w:p>
    <w:p w14:paraId="4650B6D2">
      <w:pPr>
        <w:keepNext w:val="0"/>
        <w:keepLines w:val="0"/>
        <w:pageBreakBefore w:val="0"/>
        <w:widowControl/>
        <w:wordWrap/>
        <w:overflowPunct/>
        <w:topLinePunct w:val="0"/>
        <w:bidi w:val="0"/>
        <w:adjustRightInd w:val="0"/>
        <w:snapToGrid w:val="0"/>
        <w:spacing w:line="440" w:lineRule="exact"/>
        <w:rPr>
          <w:rFonts w:ascii="宋体" w:hAnsi="宋体" w:cs="宋体"/>
          <w:color w:val="000000" w:themeColor="text1"/>
          <w:kern w:val="0"/>
          <w:szCs w:val="21"/>
          <w:highlight w:val="none"/>
          <w14:textFill>
            <w14:solidFill>
              <w14:schemeClr w14:val="tx1"/>
            </w14:solidFill>
          </w14:textFill>
        </w:rPr>
      </w:pPr>
    </w:p>
    <w:p w14:paraId="590E7410">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发包人(公章)：                               承包人(公章)：</w:t>
      </w:r>
    </w:p>
    <w:p w14:paraId="35B5B23C">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地 址：                                      地 址：</w:t>
      </w:r>
    </w:p>
    <w:p w14:paraId="7EEAAB63">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 话：                                      电 话：</w:t>
      </w:r>
    </w:p>
    <w:p w14:paraId="4DCECF59">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传 真：                                      传 真：</w:t>
      </w:r>
    </w:p>
    <w:p w14:paraId="519E3576">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开户银行：                                   开户银行：</w:t>
      </w:r>
    </w:p>
    <w:p w14:paraId="017F7982">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账 号：                                      账 号：</w:t>
      </w:r>
    </w:p>
    <w:p w14:paraId="725F5C86">
      <w:pPr>
        <w:keepNext w:val="0"/>
        <w:keepLines w:val="0"/>
        <w:pageBreakBefore w:val="0"/>
        <w:widowControl/>
        <w:wordWrap/>
        <w:overflowPunct/>
        <w:topLinePunct w:val="0"/>
        <w:bidi w:val="0"/>
        <w:adjustRightInd w:val="0"/>
        <w:snapToGrid w:val="0"/>
        <w:spacing w:line="44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邮政编码：                                   邮政编码：</w:t>
      </w:r>
    </w:p>
    <w:p w14:paraId="70C3305F">
      <w:pPr>
        <w:keepNext w:val="0"/>
        <w:keepLines w:val="0"/>
        <w:pageBreakBefore w:val="0"/>
        <w:widowControl w:val="0"/>
        <w:kinsoku/>
        <w:wordWrap/>
        <w:overflowPunct/>
        <w:topLinePunct w:val="0"/>
        <w:autoSpaceDE/>
        <w:autoSpaceDN/>
        <w:bidi w:val="0"/>
        <w:adjustRightInd w:val="0"/>
        <w:snapToGrid w:val="0"/>
        <w:spacing w:line="440" w:lineRule="exact"/>
        <w:ind w:firstLine="1470" w:firstLineChars="700"/>
        <w:jc w:val="both"/>
        <w:textAlignment w:val="auto"/>
        <w:outlineLvl w:val="9"/>
        <w:rPr>
          <w:rFonts w:hint="eastAsia" w:ascii="宋体" w:hAnsi="宋体" w:cs="宋体"/>
          <w:color w:val="000000" w:themeColor="text1"/>
          <w:kern w:val="0"/>
          <w:szCs w:val="21"/>
          <w:highlight w:val="none"/>
          <w14:textFill>
            <w14:solidFill>
              <w14:schemeClr w14:val="tx1"/>
            </w14:solidFill>
          </w14:textFill>
        </w:rPr>
        <w:sectPr>
          <w:footerReference r:id="rId6" w:type="default"/>
          <w:pgSz w:w="11850" w:h="16783"/>
          <w:pgMar w:top="1134" w:right="1134" w:bottom="1134" w:left="1134" w:header="992" w:footer="992" w:gutter="0"/>
          <w:pgNumType w:fmt="decimal"/>
          <w:cols w:space="720" w:num="1"/>
        </w:sectPr>
      </w:pPr>
      <w:r>
        <w:rPr>
          <w:rFonts w:hint="eastAsia" w:ascii="宋体" w:hAnsi="宋体" w:cs="宋体"/>
          <w:color w:val="000000" w:themeColor="text1"/>
          <w:kern w:val="0"/>
          <w:szCs w:val="21"/>
          <w:highlight w:val="none"/>
          <w14:textFill>
            <w14:solidFill>
              <w14:schemeClr w14:val="tx1"/>
            </w14:solidFill>
          </w14:textFill>
        </w:rPr>
        <w:t>年   月   日                                年   月   日</w:t>
      </w:r>
    </w:p>
    <w:p w14:paraId="7C24A54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rPr>
        <w:t xml:space="preserve">第五章  </w:t>
      </w:r>
      <w:r>
        <w:rPr>
          <w:rFonts w:hint="eastAsia" w:ascii="宋体" w:hAnsi="宋体" w:eastAsia="宋体" w:cs="宋体"/>
          <w:b/>
          <w:bCs/>
          <w:sz w:val="36"/>
          <w:szCs w:val="36"/>
          <w:highlight w:val="none"/>
          <w:lang w:eastAsia="zh-CN"/>
        </w:rPr>
        <w:t>发包人要求</w:t>
      </w:r>
    </w:p>
    <w:p w14:paraId="5ADF725D">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31" w:name="_Toc9177"/>
      <w:bookmarkStart w:id="132" w:name="_Toc18284"/>
      <w:bookmarkStart w:id="133" w:name="_Toc13862"/>
      <w:r>
        <w:rPr>
          <w:rFonts w:hint="eastAsia" w:ascii="宋体" w:hAnsi="宋体" w:eastAsia="宋体" w:cs="宋体"/>
          <w:b/>
          <w:color w:val="auto"/>
          <w:sz w:val="21"/>
          <w:szCs w:val="21"/>
          <w:highlight w:val="none"/>
        </w:rPr>
        <w:t>一、工程范围</w:t>
      </w:r>
      <w:bookmarkEnd w:id="131"/>
      <w:bookmarkEnd w:id="132"/>
      <w:bookmarkEnd w:id="133"/>
    </w:p>
    <w:p w14:paraId="6DBFBDBF">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（一）主要工作</w:t>
      </w:r>
    </w:p>
    <w:p w14:paraId="599DA090">
      <w:pPr>
        <w:keepNext w:val="0"/>
        <w:keepLines w:val="0"/>
        <w:pageBreakBefore w:val="0"/>
        <w:kinsoku/>
        <w:wordWrap/>
        <w:overflowPunct/>
        <w:topLinePunct w:val="0"/>
        <w:autoSpaceDE/>
        <w:autoSpaceDN/>
        <w:bidi w:val="0"/>
        <w:adjustRightInd/>
        <w:snapToGrid/>
        <w:spacing w:line="360" w:lineRule="auto"/>
        <w:ind w:firstLine="422" w:firstLineChars="200"/>
        <w:rPr>
          <w:rFonts w:hint="eastAsia" w:ascii="宋体" w:hAnsi="宋体"/>
          <w:b w:val="0"/>
          <w:bCs w:val="0"/>
          <w:color w:val="auto"/>
          <w:szCs w:val="21"/>
          <w:highlight w:val="none"/>
          <w:u w:val="none"/>
          <w:lang w:val="en-US" w:eastAsia="zh-CN"/>
        </w:rPr>
      </w:pPr>
      <w:r>
        <w:rPr>
          <w:rFonts w:hint="eastAsia" w:ascii="宋体" w:hAnsi="宋体" w:eastAsia="宋体" w:cs="宋体"/>
          <w:b/>
          <w:bCs/>
          <w:color w:val="auto"/>
          <w:sz w:val="21"/>
          <w:szCs w:val="21"/>
          <w:highlight w:val="none"/>
        </w:rPr>
        <w:t>1.</w:t>
      </w:r>
      <w:r>
        <w:rPr>
          <w:rFonts w:hint="eastAsia" w:ascii="宋体" w:hAnsi="宋体"/>
          <w:b/>
          <w:bCs/>
          <w:color w:val="auto"/>
          <w:szCs w:val="21"/>
          <w:highlight w:val="none"/>
        </w:rPr>
        <w:t>项目概况：</w:t>
      </w:r>
      <w:r>
        <w:rPr>
          <w:rFonts w:hint="eastAsia" w:ascii="宋体" w:hAnsi="宋体" w:eastAsia="宋体" w:cs="宋体"/>
          <w:i w:val="0"/>
          <w:iCs w:val="0"/>
          <w:color w:val="auto"/>
          <w:spacing w:val="-3"/>
          <w:sz w:val="21"/>
          <w:szCs w:val="21"/>
          <w:highlight w:val="none"/>
        </w:rPr>
        <w:t>本项目投资估算</w:t>
      </w:r>
      <w:r>
        <w:rPr>
          <w:rFonts w:hint="eastAsia" w:ascii="宋体" w:hAnsi="宋体" w:cs="宋体"/>
          <w:i/>
          <w:iCs/>
          <w:color w:val="auto"/>
          <w:spacing w:val="-3"/>
          <w:sz w:val="21"/>
          <w:szCs w:val="21"/>
          <w:highlight w:val="none"/>
          <w:u w:val="single"/>
          <w:lang w:val="en-US" w:eastAsia="zh-CN"/>
        </w:rPr>
        <w:t xml:space="preserve"> 1169 </w:t>
      </w:r>
      <w:r>
        <w:rPr>
          <w:rFonts w:hint="eastAsia" w:ascii="宋体" w:hAnsi="宋体" w:eastAsia="宋体" w:cs="宋体"/>
          <w:i w:val="0"/>
          <w:iCs w:val="0"/>
          <w:color w:val="auto"/>
          <w:spacing w:val="-3"/>
          <w:sz w:val="21"/>
          <w:szCs w:val="21"/>
          <w:highlight w:val="none"/>
        </w:rPr>
        <w:t>万元，工程概</w:t>
      </w:r>
      <w:r>
        <w:rPr>
          <w:rFonts w:hint="eastAsia" w:ascii="宋体" w:hAnsi="宋体" w:eastAsia="宋体" w:cs="宋体"/>
          <w:i w:val="0"/>
          <w:iCs w:val="0"/>
          <w:color w:val="auto"/>
          <w:spacing w:val="-4"/>
          <w:sz w:val="21"/>
          <w:szCs w:val="21"/>
          <w:highlight w:val="none"/>
        </w:rPr>
        <w:t>算</w:t>
      </w:r>
      <w:r>
        <w:rPr>
          <w:rFonts w:hint="eastAsia" w:ascii="宋体" w:hAnsi="宋体" w:cs="宋体"/>
          <w:i/>
          <w:iCs/>
          <w:color w:val="auto"/>
          <w:spacing w:val="-3"/>
          <w:sz w:val="21"/>
          <w:szCs w:val="21"/>
          <w:highlight w:val="none"/>
          <w:u w:val="single"/>
          <w:lang w:val="en-US" w:eastAsia="zh-CN"/>
        </w:rPr>
        <w:t xml:space="preserve">  1169 </w:t>
      </w:r>
      <w:r>
        <w:rPr>
          <w:rFonts w:hint="eastAsia" w:ascii="宋体" w:hAnsi="宋体" w:eastAsia="宋体" w:cs="宋体"/>
          <w:i w:val="0"/>
          <w:iCs w:val="0"/>
          <w:color w:val="auto"/>
          <w:spacing w:val="-3"/>
          <w:sz w:val="21"/>
          <w:szCs w:val="21"/>
          <w:highlight w:val="none"/>
        </w:rPr>
        <w:t>万元</w:t>
      </w:r>
      <w:r>
        <w:rPr>
          <w:rFonts w:hint="eastAsia" w:ascii="宋体" w:hAnsi="宋体" w:cs="宋体"/>
          <w:i w:val="0"/>
          <w:iCs w:val="0"/>
          <w:color w:val="auto"/>
          <w:spacing w:val="-4"/>
          <w:sz w:val="21"/>
          <w:szCs w:val="21"/>
          <w:highlight w:val="none"/>
          <w:lang w:val="en-US" w:eastAsia="zh-CN"/>
        </w:rPr>
        <w:t>，</w:t>
      </w:r>
      <w:r>
        <w:rPr>
          <w:rFonts w:hint="eastAsia" w:ascii="宋体" w:hAnsi="宋体" w:eastAsia="宋体" w:cs="宋体"/>
          <w:i w:val="0"/>
          <w:iCs w:val="0"/>
          <w:color w:val="auto"/>
          <w:spacing w:val="-4"/>
          <w:sz w:val="21"/>
          <w:szCs w:val="21"/>
          <w:highlight w:val="none"/>
        </w:rPr>
        <w:t>其中建安工程</w:t>
      </w:r>
      <w:r>
        <w:rPr>
          <w:rFonts w:hint="eastAsia" w:ascii="宋体" w:hAnsi="宋体" w:eastAsia="宋体" w:cs="宋体"/>
          <w:i w:val="0"/>
          <w:iCs w:val="0"/>
          <w:color w:val="auto"/>
          <w:spacing w:val="-1"/>
          <w:sz w:val="21"/>
          <w:szCs w:val="21"/>
          <w:highlight w:val="none"/>
        </w:rPr>
        <w:t>造价</w:t>
      </w:r>
      <w:r>
        <w:rPr>
          <w:rFonts w:hint="eastAsia" w:ascii="宋体" w:hAnsi="宋体" w:cs="宋体"/>
          <w:i/>
          <w:iCs/>
          <w:color w:val="auto"/>
          <w:spacing w:val="-3"/>
          <w:sz w:val="21"/>
          <w:szCs w:val="21"/>
          <w:highlight w:val="none"/>
          <w:u w:val="single"/>
          <w:lang w:val="en-US" w:eastAsia="zh-CN"/>
        </w:rPr>
        <w:t xml:space="preserve"> 1132.4051 </w:t>
      </w:r>
      <w:r>
        <w:rPr>
          <w:rFonts w:hint="eastAsia" w:ascii="宋体" w:hAnsi="宋体" w:eastAsia="宋体" w:cs="宋体"/>
          <w:i w:val="0"/>
          <w:iCs w:val="0"/>
          <w:color w:val="auto"/>
          <w:spacing w:val="-3"/>
          <w:sz w:val="21"/>
          <w:szCs w:val="21"/>
          <w:highlight w:val="none"/>
        </w:rPr>
        <w:t>万元</w:t>
      </w:r>
      <w:r>
        <w:rPr>
          <w:rFonts w:hint="eastAsia" w:ascii="宋体" w:hAnsi="宋体" w:eastAsia="宋体" w:cs="宋体"/>
          <w:i w:val="0"/>
          <w:iCs w:val="0"/>
          <w:color w:val="auto"/>
          <w:spacing w:val="-1"/>
          <w:sz w:val="21"/>
          <w:szCs w:val="21"/>
          <w:highlight w:val="none"/>
        </w:rPr>
        <w:t>，建设规模</w:t>
      </w:r>
      <w:r>
        <w:rPr>
          <w:rFonts w:hint="eastAsia" w:ascii="宋体" w:hAnsi="宋体" w:cs="宋体"/>
          <w:i w:val="0"/>
          <w:iCs w:val="0"/>
          <w:color w:val="auto"/>
          <w:spacing w:val="-1"/>
          <w:sz w:val="21"/>
          <w:szCs w:val="21"/>
          <w:highlight w:val="none"/>
          <w:lang w:eastAsia="zh-CN"/>
        </w:rPr>
        <w:t>：</w:t>
      </w:r>
      <w:r>
        <w:rPr>
          <w:rFonts w:hint="eastAsia" w:ascii="宋体" w:hAnsi="宋体" w:cs="宋体"/>
          <w:i w:val="0"/>
          <w:iCs w:val="0"/>
          <w:color w:val="auto"/>
          <w:spacing w:val="-1"/>
          <w:sz w:val="21"/>
          <w:szCs w:val="21"/>
          <w:highlight w:val="none"/>
          <w:u w:val="single"/>
          <w:lang w:val="en-US" w:eastAsia="zh-CN"/>
        </w:rPr>
        <w:t>总用地面积约为341.64亩，其中X地块安置点规划用地面积约257.14亩，Z地块安置点规划用地面积约为84.5亩，计划安置户数为526户</w:t>
      </w:r>
      <w:r>
        <w:rPr>
          <w:rFonts w:hint="eastAsia" w:ascii="宋体" w:hAnsi="宋体" w:cs="宋体"/>
          <w:color w:val="auto"/>
          <w:sz w:val="21"/>
          <w:szCs w:val="21"/>
          <w:highlight w:val="none"/>
          <w:u w:val="single"/>
          <w:shd w:val="clear" w:color="auto" w:fill="auto"/>
          <w:lang w:val="en-US" w:eastAsia="zh-CN"/>
        </w:rPr>
        <w:t>。主要包括公变总容量8920kVA，6座配电室、1座10kVA环网室设备材料及安装，其中1#、2#、3#、4#配电室各设置2台800kVA干式变，5#、6#配电室各设2台容量为</w:t>
      </w:r>
      <w:r>
        <w:rPr>
          <w:rFonts w:hint="eastAsia" w:ascii="宋体" w:hAnsi="宋体" w:cs="宋体"/>
          <w:color w:val="auto"/>
          <w:szCs w:val="21"/>
          <w:highlight w:val="none"/>
          <w:u w:val="single"/>
          <w:shd w:val="clear" w:color="auto" w:fill="auto"/>
          <w:lang w:val="en-US" w:eastAsia="zh-CN"/>
        </w:rPr>
        <w:t>630kVA干式变。（具体详见招标人提供的图纸、工程量清单）</w:t>
      </w:r>
      <w:r>
        <w:rPr>
          <w:rFonts w:hint="eastAsia" w:ascii="宋体" w:hAnsi="宋体"/>
          <w:color w:val="auto"/>
          <w:szCs w:val="21"/>
          <w:highlight w:val="none"/>
          <w:u w:val="none"/>
          <w:lang w:eastAsia="zh-CN"/>
        </w:rPr>
        <w:t>。</w:t>
      </w:r>
      <w:r>
        <w:rPr>
          <w:rFonts w:hint="eastAsia" w:ascii="宋体" w:hAnsi="宋体" w:eastAsia="宋体" w:cs="宋体"/>
          <w:i w:val="0"/>
          <w:iCs w:val="0"/>
          <w:color w:val="auto"/>
          <w:spacing w:val="-1"/>
          <w:sz w:val="21"/>
          <w:szCs w:val="21"/>
          <w:highlight w:val="none"/>
        </w:rPr>
        <w:t>建设地点：</w:t>
      </w:r>
      <w:r>
        <w:rPr>
          <w:rFonts w:hint="eastAsia" w:ascii="宋体" w:hAnsi="宋体" w:eastAsia="宋体" w:cs="宋体"/>
          <w:i w:val="0"/>
          <w:iCs w:val="0"/>
          <w:color w:val="auto"/>
          <w:spacing w:val="-1"/>
          <w:sz w:val="21"/>
          <w:szCs w:val="21"/>
          <w:highlight w:val="none"/>
          <w:u w:val="single"/>
          <w:lang w:val="en-US" w:eastAsia="zh-CN"/>
        </w:rPr>
        <w:t>开化县华埠镇</w:t>
      </w:r>
      <w:r>
        <w:rPr>
          <w:rFonts w:hint="eastAsia" w:ascii="宋体" w:hAnsi="宋体" w:eastAsia="宋体" w:cs="宋体"/>
          <w:color w:val="auto"/>
          <w:spacing w:val="-1"/>
          <w:sz w:val="21"/>
          <w:szCs w:val="21"/>
          <w:highlight w:val="none"/>
        </w:rPr>
        <w:t>。</w:t>
      </w:r>
    </w:p>
    <w:p w14:paraId="3EA52CBB">
      <w:pPr>
        <w:keepNext w:val="0"/>
        <w:keepLines w:val="0"/>
        <w:pageBreakBefore w:val="0"/>
        <w:kinsoku/>
        <w:wordWrap/>
        <w:overflowPunct/>
        <w:topLinePunct w:val="0"/>
        <w:autoSpaceDE/>
        <w:autoSpaceDN/>
        <w:bidi w:val="0"/>
        <w:adjustRightInd/>
        <w:snapToGrid/>
        <w:spacing w:line="360" w:lineRule="auto"/>
        <w:ind w:firstLine="422" w:firstLineChars="200"/>
        <w:rPr>
          <w:rFonts w:hint="eastAsia"/>
          <w:color w:val="auto"/>
          <w:szCs w:val="21"/>
          <w:highlight w:val="none"/>
        </w:rPr>
      </w:pPr>
      <w:r>
        <w:rPr>
          <w:rFonts w:hint="eastAsia" w:ascii="宋体" w:hAnsi="宋体" w:eastAsia="宋体" w:cs="宋体"/>
          <w:b/>
          <w:color w:val="auto"/>
          <w:sz w:val="21"/>
          <w:szCs w:val="21"/>
          <w:highlight w:val="none"/>
        </w:rPr>
        <w:t>2.招标范围：</w:t>
      </w:r>
      <w:r>
        <w:rPr>
          <w:rFonts w:hint="eastAsia" w:ascii="Times New Roman" w:hAnsi="Times New Roman" w:eastAsia="宋体" w:cs="Times New Roman"/>
          <w:color w:val="auto"/>
          <w:szCs w:val="21"/>
          <w:highlight w:val="none"/>
        </w:rPr>
        <w:t>本工程为EPC总承包项目</w:t>
      </w:r>
      <w:r>
        <w:rPr>
          <w:rFonts w:hint="eastAsia"/>
          <w:color w:val="auto"/>
          <w:szCs w:val="21"/>
          <w:highlight w:val="none"/>
        </w:rPr>
        <w:t>，招标范围包括本工程建设范围内的设计、协助工程前期手续办理、工程施工、材料设备及设施采购与安装、竣工图编制、调试试运行、竣工验收，直至使用单位接手等相关资料的办理、工程缺陷责任期内的缺陷修复及保修期服务等相关建设方面的内容。其中：</w:t>
      </w:r>
    </w:p>
    <w:p w14:paraId="4F737594">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color w:val="auto"/>
          <w:szCs w:val="21"/>
          <w:highlight w:val="none"/>
        </w:rPr>
      </w:pPr>
      <w:r>
        <w:rPr>
          <w:rFonts w:hint="eastAsia"/>
          <w:color w:val="auto"/>
          <w:szCs w:val="21"/>
          <w:highlight w:val="none"/>
        </w:rPr>
        <w:t>①设计：包括根据招标人要求，完成本项目所有专业施工图设计、配合施工图图审、设计文件报审报批及施工阶段服务等内容，以及各阶段、各部门审批提出的设计文件的修改和施工过程中招标人提出的变更设计等内容。</w:t>
      </w:r>
    </w:p>
    <w:p w14:paraId="2767F6A3">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color w:val="auto"/>
          <w:szCs w:val="21"/>
          <w:highlight w:val="none"/>
        </w:rPr>
      </w:pPr>
      <w:r>
        <w:rPr>
          <w:rFonts w:hint="eastAsia"/>
          <w:color w:val="auto"/>
          <w:szCs w:val="21"/>
          <w:highlight w:val="none"/>
        </w:rPr>
        <w:t>②采购：包括本项目所涉及的设施设备材料采购、运输、保管、安装及调试（试运行）、移交以及质保期内的保修服务等。</w:t>
      </w:r>
    </w:p>
    <w:p w14:paraId="7F7FA6C0">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color w:val="auto"/>
          <w:szCs w:val="21"/>
          <w:highlight w:val="none"/>
        </w:rPr>
      </w:pPr>
      <w:r>
        <w:rPr>
          <w:rFonts w:hint="eastAsia"/>
          <w:color w:val="auto"/>
          <w:szCs w:val="21"/>
          <w:highlight w:val="none"/>
        </w:rPr>
        <w:t>③施工：包括安装配电箱、电缆、电力管网及供配电线路设备等电力所属工程施工内容。（具体详见招标人提供的图纸、工程量清单）</w:t>
      </w:r>
    </w:p>
    <w:p w14:paraId="1CB3FC24">
      <w:pPr>
        <w:keepNext w:val="0"/>
        <w:keepLines w:val="0"/>
        <w:pageBreakBefore w:val="0"/>
        <w:kinsoku/>
        <w:wordWrap/>
        <w:overflowPunct/>
        <w:topLinePunct w:val="0"/>
        <w:autoSpaceDE w:val="0"/>
        <w:autoSpaceDN w:val="0"/>
        <w:bidi w:val="0"/>
        <w:adjustRightInd/>
        <w:snapToGrid/>
        <w:spacing w:line="400" w:lineRule="exact"/>
        <w:ind w:firstLine="420" w:firstLineChars="200"/>
        <w:textAlignment w:val="auto"/>
        <w:rPr>
          <w:rFonts w:hint="default" w:ascii="宋体" w:hAnsi="宋体" w:eastAsia="宋体" w:cs="宋体"/>
          <w:color w:val="auto"/>
          <w:kern w:val="0"/>
          <w:sz w:val="21"/>
          <w:szCs w:val="21"/>
          <w:highlight w:val="none"/>
          <w:lang w:val="en-US"/>
        </w:rPr>
      </w:pPr>
      <w:r>
        <w:rPr>
          <w:rFonts w:hint="eastAsia"/>
          <w:color w:val="auto"/>
          <w:szCs w:val="21"/>
          <w:highlight w:val="none"/>
        </w:rPr>
        <w:t>④总承包管理和服务内容：包括项目设计管理、采购管理、施工管理、试运行管理、风险管理、进度管理、质量管理、费用管理、安全职业健康与环境管理、沟通与信息管理、合同管理、项目收尾的所有管理工作，并包括项目前后期服务和协调配合工作（含施工图审查、专项设计审查及论证、开工前各项手续协助办理等）、协助施工许可证办理、专项验收、竣工验收的办理，配合竣工验收备案、整体移交、配合项目投用前准备、工程保修期管理等所有总承包管理和服务工作，施工过程中的内外协调和配合、场地准备及临时设施工程、检验检测、系统集成、专利及专有技术使用等其他专项工作，并做好工程所需的各类检测，满足竣工验收及竣工验收备案并交付的需要。</w:t>
      </w:r>
      <w:r>
        <w:rPr>
          <w:rFonts w:hint="eastAsia" w:ascii="宋体" w:hAnsi="宋体" w:cs="宋体"/>
          <w:color w:val="auto"/>
          <w:sz w:val="21"/>
          <w:szCs w:val="21"/>
          <w:highlight w:val="none"/>
          <w:lang w:val="en-US" w:eastAsia="zh-CN"/>
        </w:rPr>
        <w:t>本次招标控制价</w:t>
      </w:r>
      <w:r>
        <w:rPr>
          <w:rFonts w:hint="eastAsia" w:ascii="宋体" w:hAnsi="宋体" w:cs="宋体"/>
          <w:i/>
          <w:iCs/>
          <w:color w:val="auto"/>
          <w:spacing w:val="-5"/>
          <w:sz w:val="21"/>
          <w:szCs w:val="21"/>
          <w:highlight w:val="none"/>
          <w:u w:val="single"/>
          <w:lang w:val="en-US" w:eastAsia="zh-CN"/>
        </w:rPr>
        <w:t xml:space="preserve"> 1120.8886 </w:t>
      </w:r>
      <w:r>
        <w:rPr>
          <w:rFonts w:hint="eastAsia" w:ascii="宋体" w:hAnsi="宋体" w:cs="宋体"/>
          <w:color w:val="auto"/>
          <w:sz w:val="21"/>
          <w:szCs w:val="21"/>
          <w:highlight w:val="none"/>
          <w:lang w:val="en-US" w:eastAsia="zh-CN"/>
        </w:rPr>
        <w:t>万元。</w:t>
      </w:r>
    </w:p>
    <w:p w14:paraId="30C99C99">
      <w:pPr>
        <w:keepNext w:val="0"/>
        <w:keepLines w:val="0"/>
        <w:pageBreakBefore w:val="0"/>
        <w:kinsoku/>
        <w:wordWrap/>
        <w:overflowPunct/>
        <w:topLinePunct w:val="0"/>
        <w:autoSpaceDE/>
        <w:autoSpaceDN/>
        <w:bidi w:val="0"/>
        <w:adjustRightInd/>
        <w:snapToGri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竣工验收工作范围：按现行规范要求。</w:t>
      </w:r>
    </w:p>
    <w:p w14:paraId="2768E939">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技术服务工作范围：按现行规范要求。</w:t>
      </w:r>
    </w:p>
    <w:p w14:paraId="6A27FB60">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保修工作范围：按现行规范要求。</w:t>
      </w:r>
    </w:p>
    <w:p w14:paraId="0F521DE8">
      <w:pPr>
        <w:keepNext w:val="0"/>
        <w:keepLines w:val="0"/>
        <w:pageBreakBefore w:val="0"/>
        <w:kinsoku/>
        <w:wordWrap/>
        <w:overflowPunct/>
        <w:topLinePunct w:val="0"/>
        <w:autoSpaceDE/>
        <w:autoSpaceDN/>
        <w:bidi w:val="0"/>
        <w:adjustRightInd/>
        <w:snapToGrid/>
        <w:spacing w:line="36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（二）工作界区： 按照发包要求范围确定。</w:t>
      </w:r>
    </w:p>
    <w:p w14:paraId="4D881639">
      <w:pPr>
        <w:keepNext w:val="0"/>
        <w:keepLines w:val="0"/>
        <w:pageBreakBefore w:val="0"/>
        <w:kinsoku/>
        <w:wordWrap/>
        <w:overflowPunct/>
        <w:topLinePunct w:val="0"/>
        <w:autoSpaceDE/>
        <w:autoSpaceDN/>
        <w:bidi w:val="0"/>
        <w:adjustRightInd/>
        <w:snapToGrid/>
        <w:spacing w:line="360" w:lineRule="auto"/>
        <w:ind w:firstLine="539" w:firstLineChars="2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（三）发包人提供的现场条件，以现场的设计情况为准。</w:t>
      </w:r>
    </w:p>
    <w:p w14:paraId="1D50AEE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（四）发包人提供的文件，以现场的实际情况为准。</w:t>
      </w:r>
    </w:p>
    <w:p w14:paraId="3CAD5CF3">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34" w:name="_Toc18467"/>
      <w:bookmarkStart w:id="135" w:name="_Toc7054"/>
      <w:bookmarkStart w:id="136" w:name="_Toc6237"/>
      <w:r>
        <w:rPr>
          <w:rFonts w:hint="eastAsia" w:ascii="宋体" w:hAnsi="宋体" w:eastAsia="宋体" w:cs="宋体"/>
          <w:b/>
          <w:color w:val="auto"/>
          <w:sz w:val="21"/>
          <w:szCs w:val="21"/>
          <w:highlight w:val="none"/>
        </w:rPr>
        <w:t>二、时间要求</w:t>
      </w:r>
      <w:bookmarkEnd w:id="134"/>
      <w:bookmarkEnd w:id="135"/>
      <w:bookmarkEnd w:id="136"/>
    </w:p>
    <w:p w14:paraId="725A8440">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（一）开始工作时间：自合同签订次日起。</w:t>
      </w:r>
    </w:p>
    <w:p w14:paraId="6D3DEBDD">
      <w:pPr>
        <w:keepNext w:val="0"/>
        <w:keepLines w:val="0"/>
        <w:pageBreakBefore w:val="0"/>
        <w:kinsoku/>
        <w:overflowPunct/>
        <w:bidi w:val="0"/>
        <w:spacing w:line="400" w:lineRule="exact"/>
        <w:ind w:firstLine="420" w:firstLineChars="200"/>
        <w:rPr>
          <w:b w:val="0"/>
          <w:bCs w:val="0"/>
          <w:color w:val="auto"/>
          <w:highlight w:val="none"/>
        </w:rPr>
      </w:pPr>
      <w:r>
        <w:rPr>
          <w:rFonts w:hint="eastAsia" w:ascii="宋体" w:hAnsi="宋体" w:eastAsia="宋体" w:cs="宋体"/>
          <w:color w:val="auto"/>
          <w:sz w:val="21"/>
          <w:szCs w:val="21"/>
          <w:highlight w:val="none"/>
        </w:rPr>
        <w:t>（二）建设总工期</w:t>
      </w:r>
      <w:r>
        <w:rPr>
          <w:rFonts w:hint="eastAsia" w:ascii="宋体" w:hAnsi="宋体" w:eastAsia="宋体" w:cs="宋体"/>
          <w:b w:val="0"/>
          <w:bCs w:val="0"/>
          <w:color w:val="auto"/>
          <w:sz w:val="21"/>
          <w:szCs w:val="21"/>
          <w:highlight w:val="none"/>
        </w:rPr>
        <w:t>：</w:t>
      </w:r>
      <w:r>
        <w:rPr>
          <w:rFonts w:hint="eastAsia" w:ascii="宋体" w:hAnsi="宋体" w:eastAsia="宋体" w:cs="宋体"/>
          <w:i w:val="0"/>
          <w:iCs w:val="0"/>
          <w:color w:val="auto"/>
          <w:spacing w:val="0"/>
          <w:sz w:val="21"/>
          <w:szCs w:val="21"/>
          <w:highlight w:val="none"/>
        </w:rPr>
        <w:t>计划工期</w:t>
      </w:r>
      <w:r>
        <w:rPr>
          <w:rFonts w:hint="eastAsia" w:ascii="宋体" w:hAnsi="宋体" w:eastAsia="宋体" w:cs="宋体"/>
          <w:color w:val="auto"/>
          <w:spacing w:val="-5"/>
          <w:sz w:val="21"/>
          <w:szCs w:val="21"/>
          <w:highlight w:val="none"/>
        </w:rPr>
        <w:t>：</w:t>
      </w:r>
      <w:r>
        <w:rPr>
          <w:rFonts w:hint="eastAsia" w:ascii="宋体" w:hAnsi="宋体" w:cs="宋体"/>
          <w:i/>
          <w:iCs/>
          <w:color w:val="auto"/>
          <w:spacing w:val="-5"/>
          <w:sz w:val="21"/>
          <w:szCs w:val="21"/>
          <w:highlight w:val="none"/>
          <w:u w:val="single"/>
          <w:lang w:val="en-US" w:eastAsia="zh-CN"/>
        </w:rPr>
        <w:t xml:space="preserve"> 60 </w:t>
      </w:r>
      <w:r>
        <w:rPr>
          <w:rFonts w:hint="eastAsia" w:ascii="宋体" w:hAnsi="宋体" w:eastAsia="宋体" w:cs="宋体"/>
          <w:color w:val="auto"/>
          <w:spacing w:val="-5"/>
          <w:sz w:val="21"/>
          <w:szCs w:val="21"/>
          <w:highlight w:val="none"/>
          <w:u w:val="none"/>
        </w:rPr>
        <w:t>日历天</w:t>
      </w:r>
      <w:r>
        <w:rPr>
          <w:rFonts w:hint="eastAsia" w:ascii="宋体" w:hAnsi="宋体"/>
          <w:b w:val="0"/>
          <w:bCs w:val="0"/>
          <w:color w:val="auto"/>
          <w:szCs w:val="21"/>
          <w:highlight w:val="none"/>
          <w:lang w:eastAsia="zh-CN"/>
        </w:rPr>
        <w:t>。</w:t>
      </w:r>
    </w:p>
    <w:p w14:paraId="6E30A384">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（三）缺陷责任期：24个月（从竣工验收合格之日起算）。</w:t>
      </w:r>
    </w:p>
    <w:p w14:paraId="63598A9E">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37" w:name="_Toc18679"/>
      <w:bookmarkStart w:id="138" w:name="_Toc4441"/>
      <w:bookmarkStart w:id="139" w:name="_Toc4674"/>
      <w:r>
        <w:rPr>
          <w:rFonts w:hint="eastAsia" w:ascii="宋体" w:hAnsi="宋体" w:eastAsia="宋体" w:cs="宋体"/>
          <w:b/>
          <w:color w:val="auto"/>
          <w:sz w:val="21"/>
          <w:szCs w:val="21"/>
          <w:highlight w:val="none"/>
        </w:rPr>
        <w:t>三、技术要求</w:t>
      </w:r>
      <w:bookmarkEnd w:id="137"/>
      <w:bookmarkEnd w:id="138"/>
      <w:bookmarkEnd w:id="139"/>
    </w:p>
    <w:p w14:paraId="553C23F2">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（一）设计阶段和设计任务：承包人需完成</w:t>
      </w:r>
      <w:r>
        <w:rPr>
          <w:rFonts w:hint="eastAsia" w:ascii="宋体" w:hAnsi="宋体" w:eastAsia="宋体" w:cs="宋体"/>
          <w:color w:val="auto"/>
          <w:sz w:val="21"/>
          <w:szCs w:val="21"/>
          <w:highlight w:val="none"/>
          <w:lang w:val="zh-CN"/>
        </w:rPr>
        <w:t>方案设计深化优化</w:t>
      </w:r>
      <w:r>
        <w:rPr>
          <w:rFonts w:hint="eastAsia" w:ascii="宋体" w:hAnsi="宋体" w:eastAsia="宋体" w:cs="宋体"/>
          <w:color w:val="auto"/>
          <w:sz w:val="21"/>
          <w:szCs w:val="21"/>
          <w:highlight w:val="none"/>
        </w:rPr>
        <w:t>、施工图阶段的设计文件。</w:t>
      </w:r>
    </w:p>
    <w:p w14:paraId="522E17BC">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（二）设计标准和规范：按现行规范要求。</w:t>
      </w:r>
    </w:p>
    <w:p w14:paraId="7508D944">
      <w:pPr>
        <w:keepNext w:val="0"/>
        <w:keepLines w:val="0"/>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（三）技术标准和要求：按现行规范要求。</w:t>
      </w:r>
    </w:p>
    <w:p w14:paraId="0F7D77F0">
      <w:pPr>
        <w:pStyle w:val="10"/>
        <w:keepNext w:val="0"/>
        <w:keepLines w:val="0"/>
        <w:pageBreakBefore w:val="0"/>
        <w:kinsoku/>
        <w:wordWrap/>
        <w:overflowPunct/>
        <w:topLinePunct w:val="0"/>
        <w:autoSpaceDE/>
        <w:autoSpaceDN/>
        <w:bidi w:val="0"/>
        <w:adjustRightInd/>
        <w:snapToGrid/>
        <w:spacing w:after="0"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（四）设计质量标准：满足国家、行业及地方现行技术标准、设计规范及设计图纸的要求（满足合同签订时最新设计标准）。工程所有物资（设备） 采购质量标准：符合招标文件、设计图纸及有关标准、规范的要求。施工质量标准：</w:t>
      </w:r>
      <w:r>
        <w:rPr>
          <w:rFonts w:hint="eastAsia" w:ascii="宋体" w:hAnsi="宋体" w:eastAsia="宋体" w:cs="宋体"/>
          <w:color w:val="auto"/>
          <w:kern w:val="0"/>
          <w:sz w:val="21"/>
          <w:szCs w:val="21"/>
          <w:highlight w:val="none"/>
        </w:rPr>
        <w:t>符合国家、行业及地方现行建设工程施工质量验收规范和标准及施工图纸要求，一次性验收合格。</w:t>
      </w:r>
    </w:p>
    <w:p w14:paraId="5F380C42">
      <w:pPr>
        <w:keepNext w:val="0"/>
        <w:keepLines w:val="0"/>
        <w:pageBreakBefore w:val="0"/>
        <w:kinsoku/>
        <w:wordWrap/>
        <w:overflowPunct/>
        <w:topLinePunct w:val="0"/>
        <w:autoSpaceDE/>
        <w:autoSpaceDN/>
        <w:bidi w:val="0"/>
        <w:adjustRightInd/>
        <w:snapToGrid/>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（五）样品：</w:t>
      </w:r>
      <w:bookmarkStart w:id="140" w:name="_Toc17006"/>
      <w:bookmarkStart w:id="141" w:name="_Toc9534"/>
      <w:bookmarkStart w:id="142" w:name="_Toc7774"/>
      <w:r>
        <w:rPr>
          <w:rFonts w:hint="eastAsia" w:ascii="宋体" w:hAnsi="宋体" w:eastAsia="宋体" w:cs="宋体"/>
          <w:color w:val="auto"/>
          <w:sz w:val="21"/>
          <w:szCs w:val="21"/>
          <w:highlight w:val="none"/>
        </w:rPr>
        <w:t>承包人负责完成本工程施工所需的全部材料、固定设备的采购、验收、运输和保管。承包人应对其采购的材料和工程设备质量负责。相关设备、无价材料等物资采购前，所用品牌需经发包及监理单位书面同意方可采购、使用。</w:t>
      </w:r>
    </w:p>
    <w:p w14:paraId="62217185">
      <w:pPr>
        <w:keepNext w:val="0"/>
        <w:keepLines w:val="0"/>
        <w:pageBreakBefore w:val="0"/>
        <w:kinsoku/>
        <w:wordWrap/>
        <w:overflowPunct/>
        <w:topLinePunct w:val="0"/>
        <w:autoSpaceDE/>
        <w:autoSpaceDN/>
        <w:bidi w:val="0"/>
        <w:adjustRightInd/>
        <w:snapToGrid/>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将各项材料和工程设备的供货人及品种、技术要求、规格、数量和供货时间等报送监理单位审批的期限：在材料和工程设备采购前10天将采购清单提交监理单位审核。所有材料（设备）的进场应符合国家或相关部门的进场检验规范，并得到业主、监理的同意。  </w:t>
      </w:r>
    </w:p>
    <w:p w14:paraId="3B9DA434">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四、竣工试验</w:t>
      </w:r>
      <w:bookmarkEnd w:id="140"/>
      <w:bookmarkEnd w:id="141"/>
      <w:bookmarkEnd w:id="142"/>
    </w:p>
    <w:p w14:paraId="657B28A0">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按照合同要求执行。</w:t>
      </w:r>
    </w:p>
    <w:p w14:paraId="067E1B97">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43" w:name="_Toc32023"/>
      <w:bookmarkStart w:id="144" w:name="_Toc10818"/>
      <w:bookmarkStart w:id="145" w:name="_Toc19537"/>
      <w:r>
        <w:rPr>
          <w:rFonts w:hint="eastAsia" w:ascii="宋体" w:hAnsi="宋体" w:eastAsia="宋体" w:cs="宋体"/>
          <w:b/>
          <w:color w:val="auto"/>
          <w:sz w:val="21"/>
          <w:szCs w:val="21"/>
          <w:highlight w:val="none"/>
        </w:rPr>
        <w:t>五、竣工验收</w:t>
      </w:r>
      <w:bookmarkEnd w:id="143"/>
      <w:bookmarkEnd w:id="144"/>
      <w:bookmarkEnd w:id="145"/>
    </w:p>
    <w:p w14:paraId="345327B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按现行规范要求。</w:t>
      </w:r>
    </w:p>
    <w:p w14:paraId="0527073D">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46" w:name="_Toc22165"/>
      <w:bookmarkStart w:id="147" w:name="_Toc21503"/>
      <w:bookmarkStart w:id="148" w:name="_Toc8434"/>
      <w:r>
        <w:rPr>
          <w:rFonts w:hint="eastAsia" w:ascii="宋体" w:hAnsi="宋体" w:eastAsia="宋体" w:cs="宋体"/>
          <w:b/>
          <w:color w:val="auto"/>
          <w:sz w:val="21"/>
          <w:szCs w:val="21"/>
          <w:highlight w:val="none"/>
        </w:rPr>
        <w:t>六、文件要求</w:t>
      </w:r>
      <w:bookmarkEnd w:id="146"/>
      <w:bookmarkEnd w:id="147"/>
      <w:bookmarkEnd w:id="148"/>
    </w:p>
    <w:p w14:paraId="1DD4B032">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（一）设计文件，及其相关审批、核准、备案要求：</w:t>
      </w:r>
    </w:p>
    <w:p w14:paraId="3AE0AB59">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施工图设计文件需经发包人及相关职能部门批准及审图公司审核后实施。</w:t>
      </w:r>
    </w:p>
    <w:p w14:paraId="3E77E69E">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（二）竣工文件和工程的其他记录：</w:t>
      </w:r>
    </w:p>
    <w:p w14:paraId="6FF501CC">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由承包人按现行规范要求提交发包人。</w:t>
      </w:r>
    </w:p>
    <w:p w14:paraId="6C75BDFE">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（三）操作和维修手册：</w:t>
      </w:r>
    </w:p>
    <w:p w14:paraId="1BCCE490">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承包人应提供相关主要设备的操作和维修手册。</w:t>
      </w:r>
    </w:p>
    <w:p w14:paraId="6E89D025">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49" w:name="_Toc7900"/>
      <w:bookmarkStart w:id="150" w:name="_Toc6816"/>
      <w:bookmarkStart w:id="151" w:name="_Toc31688"/>
      <w:r>
        <w:rPr>
          <w:rFonts w:hint="eastAsia" w:ascii="宋体" w:hAnsi="宋体" w:eastAsia="宋体" w:cs="宋体"/>
          <w:b/>
          <w:color w:val="auto"/>
          <w:sz w:val="21"/>
          <w:szCs w:val="21"/>
          <w:highlight w:val="none"/>
        </w:rPr>
        <w:t>七、工程项目管理规定</w:t>
      </w:r>
      <w:bookmarkEnd w:id="149"/>
      <w:bookmarkEnd w:id="150"/>
      <w:bookmarkEnd w:id="151"/>
    </w:p>
    <w:p w14:paraId="0A24830A">
      <w:pPr>
        <w:pStyle w:val="10"/>
        <w:keepNext w:val="0"/>
        <w:keepLines w:val="0"/>
        <w:pageBreakBefore w:val="0"/>
        <w:kinsoku/>
        <w:wordWrap/>
        <w:overflowPunct/>
        <w:topLinePunct w:val="0"/>
        <w:autoSpaceDE/>
        <w:autoSpaceDN/>
        <w:bidi w:val="0"/>
        <w:adjustRightInd/>
        <w:snapToGrid/>
        <w:spacing w:after="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（一）设计质量标准：满足国家、行业及地方现行技术标准、设计规范及设计图纸的要求（满足合同签订时最新设计标准）。工程所有物资（设备） 采购质量标准：符合招标文件、设计图纸及有关标准、规范的要求。施工质量标准：</w:t>
      </w:r>
      <w:r>
        <w:rPr>
          <w:rFonts w:hint="eastAsia" w:ascii="宋体" w:hAnsi="宋体" w:eastAsia="宋体" w:cs="宋体"/>
          <w:color w:val="auto"/>
          <w:kern w:val="0"/>
          <w:sz w:val="21"/>
          <w:szCs w:val="21"/>
          <w:highlight w:val="none"/>
        </w:rPr>
        <w:t>符合国家、行业及地方现行建设工程施工质量验收规范和标准及施工图纸要求，一次性验收合格。</w:t>
      </w:r>
    </w:p>
    <w:p w14:paraId="3E85CB30">
      <w:pPr>
        <w:keepNext w:val="0"/>
        <w:keepLines w:val="0"/>
        <w:pageBreakBefore w:val="0"/>
        <w:kinsoku/>
        <w:wordWrap/>
        <w:overflowPunct/>
        <w:topLinePunct w:val="0"/>
        <w:autoSpaceDE/>
        <w:autoSpaceDN/>
        <w:bidi w:val="0"/>
        <w:adjustRightInd/>
        <w:snapToGrid/>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（二）进度：按现行规范要求。</w:t>
      </w:r>
    </w:p>
    <w:p w14:paraId="385E5913">
      <w:pPr>
        <w:keepNext w:val="0"/>
        <w:keepLines w:val="0"/>
        <w:pageBreakBefore w:val="0"/>
        <w:kinsoku/>
        <w:wordWrap/>
        <w:overflowPunct/>
        <w:topLinePunct w:val="0"/>
        <w:autoSpaceDE/>
        <w:autoSpaceDN/>
        <w:bidi w:val="0"/>
        <w:adjustRightInd/>
        <w:snapToGrid/>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（三）支付：见合同专用条款。</w:t>
      </w:r>
    </w:p>
    <w:p w14:paraId="3DF744C6">
      <w:pPr>
        <w:keepNext w:val="0"/>
        <w:keepLines w:val="0"/>
        <w:pageBreakBefore w:val="0"/>
        <w:kinsoku/>
        <w:wordWrap/>
        <w:overflowPunct/>
        <w:topLinePunct w:val="0"/>
        <w:autoSpaceDE/>
        <w:autoSpaceDN/>
        <w:bidi w:val="0"/>
        <w:adjustRightInd/>
        <w:snapToGrid/>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（四）HSE（健康、安全与环境管理体系）：见合同通用条款。</w:t>
      </w:r>
    </w:p>
    <w:p w14:paraId="1252C69F">
      <w:pPr>
        <w:keepNext w:val="0"/>
        <w:keepLines w:val="0"/>
        <w:pageBreakBefore w:val="0"/>
        <w:kinsoku/>
        <w:wordWrap/>
        <w:overflowPunct/>
        <w:topLinePunct w:val="0"/>
        <w:autoSpaceDE/>
        <w:autoSpaceDN/>
        <w:bidi w:val="0"/>
        <w:adjustRightInd/>
        <w:snapToGrid/>
        <w:spacing w:line="360" w:lineRule="auto"/>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（五）变更：见合同专用条款。</w:t>
      </w:r>
    </w:p>
    <w:p w14:paraId="3498CDD0">
      <w:pPr>
        <w:keepNext w:val="0"/>
        <w:keepLines w:val="0"/>
        <w:pageBreakBefore w:val="0"/>
        <w:kinsoku/>
        <w:wordWrap/>
        <w:overflowPunct/>
        <w:topLinePunct w:val="0"/>
        <w:autoSpaceDE/>
        <w:autoSpaceDN/>
        <w:bidi w:val="0"/>
        <w:adjustRightInd/>
        <w:snapToGrid/>
        <w:spacing w:line="360" w:lineRule="auto"/>
        <w:outlineLvl w:val="0"/>
        <w:rPr>
          <w:rFonts w:hint="eastAsia" w:ascii="宋体" w:hAnsi="宋体" w:eastAsia="宋体" w:cs="宋体"/>
          <w:b/>
          <w:color w:val="auto"/>
          <w:sz w:val="21"/>
          <w:szCs w:val="21"/>
          <w:highlight w:val="none"/>
        </w:rPr>
      </w:pPr>
      <w:bookmarkStart w:id="152" w:name="_Toc31580"/>
      <w:bookmarkStart w:id="153" w:name="_Toc2157"/>
      <w:bookmarkStart w:id="154" w:name="_Toc26014"/>
      <w:r>
        <w:rPr>
          <w:rFonts w:hint="eastAsia" w:ascii="宋体" w:hAnsi="宋体" w:eastAsia="宋体" w:cs="宋体"/>
          <w:b/>
          <w:color w:val="auto"/>
          <w:sz w:val="21"/>
          <w:szCs w:val="21"/>
          <w:highlight w:val="none"/>
        </w:rPr>
        <w:t>八、其他要求</w:t>
      </w:r>
      <w:bookmarkEnd w:id="152"/>
      <w:bookmarkEnd w:id="153"/>
      <w:bookmarkEnd w:id="154"/>
    </w:p>
    <w:p w14:paraId="1E805C10">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（一）分包：见合同专用条款。</w:t>
      </w:r>
    </w:p>
    <w:p w14:paraId="25667962">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（二）设备供应商：见合同通用条款。</w:t>
      </w:r>
    </w:p>
    <w:p w14:paraId="2783E74B">
      <w:pPr>
        <w:keepNext w:val="0"/>
        <w:keepLines w:val="0"/>
        <w:pageBreakBefore w:val="0"/>
        <w:kinsoku/>
        <w:wordWrap/>
        <w:overflowPunct/>
        <w:topLinePunct w:val="0"/>
        <w:autoSpaceDE/>
        <w:autoSpaceDN/>
        <w:bidi w:val="0"/>
        <w:adjustRightInd/>
        <w:snapToGrid/>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三</w:t>
      </w:r>
      <w:r>
        <w:rPr>
          <w:rFonts w:hint="eastAsia" w:ascii="宋体" w:hAnsi="宋体" w:eastAsia="宋体" w:cs="宋体"/>
          <w:color w:val="auto"/>
          <w:sz w:val="21"/>
          <w:szCs w:val="21"/>
          <w:highlight w:val="none"/>
        </w:rPr>
        <w:t>）质保期的服务要求：见合同通用条款。</w:t>
      </w:r>
    </w:p>
    <w:p w14:paraId="042F190F">
      <w:pPr>
        <w:keepNext w:val="0"/>
        <w:keepLines w:val="0"/>
        <w:pageBreakBefore w:val="0"/>
        <w:overflowPunct/>
        <w:topLinePunct w:val="0"/>
        <w:bidi w:val="0"/>
        <w:adjustRightInd/>
        <w:spacing w:line="360" w:lineRule="auto"/>
        <w:ind w:firstLine="420" w:firstLineChars="200"/>
        <w:rPr>
          <w:rFonts w:hint="eastAsia" w:ascii="宋体" w:hAnsi="宋体" w:eastAsia="宋体" w:cs="宋体"/>
          <w:color w:val="auto"/>
          <w:sz w:val="21"/>
          <w:szCs w:val="21"/>
          <w:highlight w:val="none"/>
        </w:rPr>
      </w:pPr>
    </w:p>
    <w:p w14:paraId="0E694793">
      <w:pPr>
        <w:jc w:val="center"/>
        <w:rPr>
          <w:rFonts w:hint="eastAsia" w:ascii="黑体" w:eastAsia="黑体"/>
          <w:color w:val="auto"/>
          <w:sz w:val="32"/>
          <w:szCs w:val="32"/>
          <w:highlight w:val="none"/>
        </w:rPr>
      </w:pPr>
    </w:p>
    <w:p w14:paraId="7D82DA51">
      <w:pP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r>
    </w:p>
    <w:p w14:paraId="1CAD3FC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第六章  工程量清单</w:t>
      </w:r>
    </w:p>
    <w:p w14:paraId="5B1A591E">
      <w:pPr>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（另附）</w:t>
      </w:r>
    </w:p>
    <w:p w14:paraId="74693448">
      <w:pP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br w:type="page"/>
      </w:r>
    </w:p>
    <w:p w14:paraId="321363F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val="en-US" w:eastAsia="zh-CN"/>
        </w:rPr>
        <w:t xml:space="preserve">第七章  </w:t>
      </w:r>
      <w:r>
        <w:rPr>
          <w:rFonts w:hint="eastAsia" w:ascii="宋体" w:hAnsi="宋体" w:eastAsia="宋体" w:cs="宋体"/>
          <w:b/>
          <w:bCs/>
          <w:sz w:val="36"/>
          <w:szCs w:val="36"/>
          <w:highlight w:val="none"/>
          <w:lang w:eastAsia="zh-CN"/>
        </w:rPr>
        <w:t>发包人提供的资料</w:t>
      </w:r>
    </w:p>
    <w:p w14:paraId="4530D8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一、项目概况（略）</w:t>
      </w:r>
    </w:p>
    <w:p w14:paraId="46C0971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二、招标人提供的资料</w:t>
      </w:r>
    </w:p>
    <w:p w14:paraId="5D375DA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、本项目设计方案、初步设计等设计文件及相关批复文件。</w:t>
      </w:r>
    </w:p>
    <w:p w14:paraId="62B7B2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color w:val="auto"/>
          <w:sz w:val="32"/>
          <w:szCs w:val="32"/>
          <w:highlight w:val="none"/>
        </w:rPr>
      </w:pPr>
      <w:r>
        <w:rPr>
          <w:rFonts w:hint="eastAsia" w:ascii="宋体" w:hAnsi="宋体"/>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、其他资料。</w:t>
      </w:r>
      <w:bookmarkStart w:id="155" w:name="_Toc45697247"/>
      <w:bookmarkStart w:id="156" w:name="_Toc74946802"/>
    </w:p>
    <w:p w14:paraId="6B5F9665">
      <w:pPr>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br w:type="page"/>
      </w:r>
    </w:p>
    <w:p w14:paraId="11924B4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t>第</w:t>
      </w:r>
      <w:r>
        <w:rPr>
          <w:rFonts w:hint="eastAsia" w:ascii="宋体" w:hAnsi="宋体" w:cs="宋体"/>
          <w:b/>
          <w:bCs/>
          <w:sz w:val="36"/>
          <w:szCs w:val="36"/>
          <w:highlight w:val="none"/>
          <w:lang w:eastAsia="zh-CN"/>
        </w:rPr>
        <w:t>八</w:t>
      </w:r>
      <w:r>
        <w:rPr>
          <w:rFonts w:hint="eastAsia" w:ascii="宋体" w:hAnsi="宋体" w:eastAsia="宋体" w:cs="宋体"/>
          <w:b/>
          <w:bCs/>
          <w:sz w:val="36"/>
          <w:szCs w:val="36"/>
          <w:highlight w:val="none"/>
          <w:lang w:eastAsia="zh-CN"/>
        </w:rPr>
        <w:t>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lang w:eastAsia="zh-CN"/>
        </w:rPr>
        <w:t>投标文件格式</w:t>
      </w:r>
      <w:bookmarkEnd w:id="155"/>
      <w:bookmarkEnd w:id="156"/>
    </w:p>
    <w:p w14:paraId="28F175A2">
      <w:pPr>
        <w:pStyle w:val="15"/>
        <w:keepNext w:val="0"/>
        <w:keepLines w:val="0"/>
        <w:pageBreakBefore w:val="0"/>
        <w:overflowPunct/>
        <w:topLinePunct w:val="0"/>
        <w:bidi w:val="0"/>
        <w:adjustRightInd w:val="0"/>
        <w:snapToGrid w:val="0"/>
        <w:spacing w:line="240" w:lineRule="auto"/>
        <w:ind w:firstLine="0"/>
        <w:jc w:val="center"/>
        <w:rPr>
          <w:rFonts w:ascii="小标宋" w:eastAsia="小标宋"/>
          <w:b w:val="0"/>
          <w:bCs w:val="0"/>
          <w:color w:val="auto"/>
          <w:sz w:val="36"/>
          <w:szCs w:val="36"/>
          <w:highlight w:val="none"/>
        </w:rPr>
      </w:pPr>
    </w:p>
    <w:p w14:paraId="14B02590">
      <w:pPr>
        <w:pStyle w:val="15"/>
        <w:keepNext w:val="0"/>
        <w:keepLines w:val="0"/>
        <w:pageBreakBefore w:val="0"/>
        <w:overflowPunct/>
        <w:topLinePunct w:val="0"/>
        <w:bidi w:val="0"/>
        <w:adjustRightInd w:val="0"/>
        <w:snapToGrid w:val="0"/>
        <w:spacing w:line="240" w:lineRule="auto"/>
        <w:ind w:firstLine="0"/>
        <w:jc w:val="center"/>
        <w:rPr>
          <w:rFonts w:ascii="小标宋" w:eastAsia="小标宋"/>
          <w:b w:val="0"/>
          <w:bCs w:val="0"/>
          <w:color w:val="auto"/>
          <w:sz w:val="36"/>
          <w:szCs w:val="36"/>
          <w:highlight w:val="none"/>
        </w:rPr>
      </w:pPr>
      <w:r>
        <w:rPr>
          <w:rFonts w:hint="eastAsia" w:ascii="小标宋" w:eastAsia="小标宋"/>
          <w:b w:val="0"/>
          <w:bCs w:val="0"/>
          <w:color w:val="auto"/>
          <w:sz w:val="30"/>
          <w:szCs w:val="30"/>
          <w:highlight w:val="none"/>
        </w:rPr>
        <w:t>目  录</w:t>
      </w:r>
    </w:p>
    <w:p w14:paraId="264E07E3">
      <w:pPr>
        <w:pStyle w:val="15"/>
        <w:keepNext w:val="0"/>
        <w:keepLines w:val="0"/>
        <w:pageBreakBefore w:val="0"/>
        <w:overflowPunct/>
        <w:topLinePunct w:val="0"/>
        <w:bidi w:val="0"/>
        <w:adjustRightInd w:val="0"/>
        <w:snapToGrid w:val="0"/>
        <w:spacing w:line="240" w:lineRule="auto"/>
        <w:ind w:firstLine="0"/>
        <w:jc w:val="center"/>
        <w:rPr>
          <w:rFonts w:ascii="小标宋" w:eastAsia="小标宋"/>
          <w:b w:val="0"/>
          <w:bCs w:val="0"/>
          <w:color w:val="auto"/>
          <w:sz w:val="36"/>
          <w:szCs w:val="36"/>
          <w:highlight w:val="none"/>
        </w:rPr>
      </w:pPr>
    </w:p>
    <w:p w14:paraId="57857F7F">
      <w:pPr>
        <w:pStyle w:val="15"/>
        <w:keepNext w:val="0"/>
        <w:keepLines w:val="0"/>
        <w:pageBreakBefore w:val="0"/>
        <w:overflowPunct/>
        <w:topLinePunct w:val="0"/>
        <w:autoSpaceDE w:val="0"/>
        <w:autoSpaceDN w:val="0"/>
        <w:bidi w:val="0"/>
        <w:spacing w:line="240" w:lineRule="auto"/>
        <w:ind w:firstLine="560" w:firstLineChars="200"/>
        <w:rPr>
          <w:rFonts w:ascii="Times New Roman" w:hAnsi="Times New Roman"/>
          <w:color w:val="auto"/>
          <w:sz w:val="28"/>
          <w:highlight w:val="none"/>
        </w:rPr>
      </w:pPr>
      <w:r>
        <w:rPr>
          <w:rFonts w:ascii="Times New Roman" w:hAnsi="Times New Roman"/>
          <w:color w:val="auto"/>
          <w:sz w:val="28"/>
          <w:highlight w:val="none"/>
        </w:rPr>
        <w:t xml:space="preserve">1. </w:t>
      </w:r>
      <w:r>
        <w:rPr>
          <w:rFonts w:hint="default" w:ascii="Times New Roman" w:hAnsi="Times New Roman"/>
          <w:color w:val="auto"/>
          <w:sz w:val="28"/>
          <w:highlight w:val="none"/>
        </w:rPr>
        <w:t>投标文件商务标格式</w:t>
      </w:r>
    </w:p>
    <w:p w14:paraId="64A9A0B7">
      <w:pPr>
        <w:pStyle w:val="15"/>
        <w:keepNext w:val="0"/>
        <w:keepLines w:val="0"/>
        <w:pageBreakBefore w:val="0"/>
        <w:overflowPunct/>
        <w:topLinePunct w:val="0"/>
        <w:autoSpaceDE w:val="0"/>
        <w:autoSpaceDN w:val="0"/>
        <w:bidi w:val="0"/>
        <w:spacing w:line="240" w:lineRule="auto"/>
        <w:ind w:firstLine="560" w:firstLineChars="200"/>
        <w:rPr>
          <w:rFonts w:hint="default" w:ascii="Times New Roman" w:hAnsi="Times New Roman"/>
          <w:color w:val="auto"/>
          <w:sz w:val="28"/>
          <w:highlight w:val="none"/>
        </w:rPr>
      </w:pPr>
      <w:r>
        <w:rPr>
          <w:rFonts w:ascii="Times New Roman" w:hAnsi="Times New Roman"/>
          <w:color w:val="auto"/>
          <w:sz w:val="28"/>
          <w:highlight w:val="none"/>
        </w:rPr>
        <w:t xml:space="preserve">2. </w:t>
      </w:r>
      <w:r>
        <w:rPr>
          <w:rFonts w:hint="default" w:ascii="Times New Roman" w:hAnsi="Times New Roman"/>
          <w:color w:val="auto"/>
          <w:sz w:val="28"/>
          <w:highlight w:val="none"/>
        </w:rPr>
        <w:t>投标文件技术标格式</w:t>
      </w:r>
    </w:p>
    <w:p w14:paraId="4EC88A6E">
      <w:pPr>
        <w:pStyle w:val="15"/>
        <w:keepNext w:val="0"/>
        <w:keepLines w:val="0"/>
        <w:pageBreakBefore w:val="0"/>
        <w:overflowPunct/>
        <w:topLinePunct w:val="0"/>
        <w:autoSpaceDE w:val="0"/>
        <w:autoSpaceDN w:val="0"/>
        <w:bidi w:val="0"/>
        <w:spacing w:line="240" w:lineRule="auto"/>
        <w:ind w:firstLine="560" w:firstLineChars="200"/>
        <w:rPr>
          <w:rFonts w:hint="default" w:ascii="Times New Roman" w:hAnsi="Times New Roman"/>
          <w:color w:val="auto"/>
          <w:sz w:val="28"/>
          <w:highlight w:val="none"/>
          <w:lang w:val="en-US" w:eastAsia="zh-CN"/>
        </w:rPr>
      </w:pPr>
      <w:r>
        <w:rPr>
          <w:rFonts w:hint="eastAsia" w:ascii="Times New Roman" w:hAnsi="Times New Roman"/>
          <w:color w:val="auto"/>
          <w:sz w:val="28"/>
          <w:highlight w:val="none"/>
          <w:lang w:val="en-US" w:eastAsia="zh-CN"/>
        </w:rPr>
        <w:t xml:space="preserve">3. </w:t>
      </w:r>
      <w:r>
        <w:rPr>
          <w:rFonts w:hint="default" w:ascii="Times New Roman" w:hAnsi="Times New Roman"/>
          <w:color w:val="auto"/>
          <w:sz w:val="28"/>
          <w:highlight w:val="none"/>
        </w:rPr>
        <w:t>投标文件</w:t>
      </w:r>
      <w:r>
        <w:rPr>
          <w:rFonts w:hint="eastAsia" w:ascii="Times New Roman" w:hAnsi="Times New Roman"/>
          <w:color w:val="auto"/>
          <w:sz w:val="28"/>
          <w:highlight w:val="none"/>
          <w:lang w:val="en-US" w:eastAsia="zh-CN"/>
        </w:rPr>
        <w:t>资信标</w:t>
      </w:r>
      <w:r>
        <w:rPr>
          <w:rFonts w:hint="default" w:ascii="Times New Roman" w:hAnsi="Times New Roman"/>
          <w:color w:val="auto"/>
          <w:sz w:val="28"/>
          <w:highlight w:val="none"/>
        </w:rPr>
        <w:t>格式</w:t>
      </w:r>
    </w:p>
    <w:p w14:paraId="10197288">
      <w:pPr>
        <w:pStyle w:val="15"/>
        <w:keepNext w:val="0"/>
        <w:keepLines w:val="0"/>
        <w:pageBreakBefore w:val="0"/>
        <w:overflowPunct/>
        <w:topLinePunct w:val="0"/>
        <w:autoSpaceDE w:val="0"/>
        <w:autoSpaceDN w:val="0"/>
        <w:bidi w:val="0"/>
        <w:spacing w:line="240" w:lineRule="auto"/>
        <w:ind w:firstLine="560" w:firstLineChars="200"/>
        <w:rPr>
          <w:rFonts w:ascii="黑体" w:eastAsia="黑体"/>
          <w:sz w:val="32"/>
          <w:szCs w:val="32"/>
          <w:highlight w:val="none"/>
        </w:rPr>
        <w:sectPr>
          <w:footerReference r:id="rId7" w:type="default"/>
          <w:pgSz w:w="11906" w:h="16838"/>
          <w:pgMar w:top="1361" w:right="1304" w:bottom="1191" w:left="1304" w:header="794" w:footer="907" w:gutter="0"/>
          <w:pgNumType w:fmt="decimal" w:start="78"/>
          <w:cols w:space="720" w:num="1"/>
          <w:docGrid w:type="lines" w:linePitch="312" w:charSpace="0"/>
        </w:sectPr>
      </w:pPr>
      <w:r>
        <w:rPr>
          <w:rFonts w:hint="eastAsia" w:ascii="Times New Roman" w:hAnsi="Times New Roman"/>
          <w:color w:val="auto"/>
          <w:sz w:val="28"/>
          <w:highlight w:val="none"/>
          <w:lang w:val="en-US" w:eastAsia="zh-CN"/>
        </w:rPr>
        <w:t>4</w:t>
      </w:r>
      <w:r>
        <w:rPr>
          <w:rFonts w:ascii="Times New Roman" w:hAnsi="Times New Roman"/>
          <w:color w:val="auto"/>
          <w:sz w:val="28"/>
          <w:highlight w:val="none"/>
        </w:rPr>
        <w:t xml:space="preserve">. </w:t>
      </w:r>
      <w:r>
        <w:rPr>
          <w:rFonts w:hint="default" w:ascii="Times New Roman" w:hAnsi="Times New Roman"/>
          <w:color w:val="auto"/>
          <w:sz w:val="28"/>
          <w:highlight w:val="none"/>
        </w:rPr>
        <w:t>投标文件资格审查资料格式</w:t>
      </w:r>
    </w:p>
    <w:p w14:paraId="6038C380">
      <w:pPr>
        <w:pStyle w:val="15"/>
        <w:keepNext w:val="0"/>
        <w:keepLines w:val="0"/>
        <w:pageBreakBefore w:val="0"/>
        <w:overflowPunct/>
        <w:topLinePunct w:val="0"/>
        <w:autoSpaceDE w:val="0"/>
        <w:autoSpaceDN w:val="0"/>
        <w:bidi w:val="0"/>
        <w:spacing w:line="240" w:lineRule="auto"/>
        <w:ind w:firstLine="0"/>
        <w:jc w:val="center"/>
        <w:rPr>
          <w:rFonts w:hint="eastAsia" w:ascii="宋体" w:hAnsi="宋体" w:eastAsia="宋体" w:cs="宋体"/>
          <w:sz w:val="36"/>
          <w:szCs w:val="36"/>
          <w:u w:val="single"/>
          <w:lang w:val="en-US" w:eastAsia="zh-CN"/>
        </w:rPr>
      </w:pPr>
    </w:p>
    <w:p w14:paraId="0C65A0FA">
      <w:pPr>
        <w:pStyle w:val="15"/>
        <w:keepNext w:val="0"/>
        <w:keepLines w:val="0"/>
        <w:pageBreakBefore w:val="0"/>
        <w:overflowPunct/>
        <w:topLinePunct w:val="0"/>
        <w:autoSpaceDE w:val="0"/>
        <w:autoSpaceDN w:val="0"/>
        <w:bidi w:val="0"/>
        <w:spacing w:line="240" w:lineRule="auto"/>
        <w:ind w:firstLine="0"/>
        <w:jc w:val="center"/>
        <w:rPr>
          <w:rFonts w:hint="eastAsia" w:ascii="宋体" w:hAnsi="宋体" w:eastAsia="宋体" w:cs="宋体"/>
          <w:b w:val="0"/>
          <w:bCs w:val="0"/>
          <w:color w:val="auto"/>
          <w:sz w:val="36"/>
          <w:szCs w:val="36"/>
          <w:highlight w:val="none"/>
          <w:u w:val="single"/>
        </w:rPr>
      </w:pPr>
      <w:r>
        <w:rPr>
          <w:rFonts w:hint="eastAsia" w:ascii="宋体" w:hAnsi="宋体" w:eastAsia="宋体" w:cs="宋体"/>
          <w:sz w:val="36"/>
          <w:szCs w:val="36"/>
          <w:u w:val="single"/>
          <w:lang w:val="en-US" w:eastAsia="zh-CN"/>
        </w:rPr>
        <w:t>开化县城市有机更新共同富裕建设项目安置地（一）基础及室外附属设施配套工程—高压配电工程总承包（EPC）</w:t>
      </w:r>
      <w:r>
        <w:rPr>
          <w:rFonts w:hint="eastAsia" w:ascii="宋体" w:hAnsi="宋体" w:eastAsia="宋体" w:cs="宋体"/>
          <w:b w:val="0"/>
          <w:bCs w:val="0"/>
          <w:color w:val="auto"/>
          <w:sz w:val="36"/>
          <w:szCs w:val="36"/>
          <w:highlight w:val="none"/>
          <w:u w:val="single"/>
        </w:rPr>
        <w:t>投标文件</w:t>
      </w:r>
    </w:p>
    <w:p w14:paraId="2AAA8C46">
      <w:pPr>
        <w:keepNext w:val="0"/>
        <w:keepLines w:val="0"/>
        <w:pageBreakBefore w:val="0"/>
        <w:overflowPunct/>
        <w:topLinePunct w:val="0"/>
        <w:bidi w:val="0"/>
        <w:spacing w:line="240" w:lineRule="auto"/>
        <w:ind w:firstLine="3600" w:firstLineChars="500"/>
        <w:jc w:val="both"/>
        <w:rPr>
          <w:color w:val="auto"/>
          <w:sz w:val="36"/>
          <w:highlight w:val="none"/>
        </w:rPr>
      </w:pPr>
      <w:r>
        <w:rPr>
          <w:rFonts w:hint="eastAsia" w:ascii="小标宋" w:eastAsia="小标宋"/>
          <w:b w:val="0"/>
          <w:bCs w:val="0"/>
          <w:color w:val="auto"/>
          <w:sz w:val="72"/>
          <w:szCs w:val="72"/>
          <w:highlight w:val="none"/>
          <w:lang w:val="en-US" w:eastAsia="zh-CN"/>
        </w:rPr>
        <w:t xml:space="preserve"> </w:t>
      </w:r>
      <w:r>
        <w:rPr>
          <w:rFonts w:hint="eastAsia"/>
          <w:color w:val="auto"/>
          <w:sz w:val="36"/>
          <w:highlight w:val="none"/>
        </w:rPr>
        <w:t>（封面）</w:t>
      </w:r>
    </w:p>
    <w:p w14:paraId="26734EEA">
      <w:pPr>
        <w:pStyle w:val="20"/>
        <w:rPr>
          <w:rFonts w:hint="default" w:eastAsia="小标宋"/>
          <w:highlight w:val="none"/>
          <w:lang w:val="en-US" w:eastAsia="zh-CN"/>
        </w:rPr>
      </w:pPr>
    </w:p>
    <w:p w14:paraId="478A214A">
      <w:pPr>
        <w:spacing w:line="440" w:lineRule="atLeast"/>
        <w:jc w:val="both"/>
        <w:rPr>
          <w:rFonts w:ascii="黑体" w:hAnsi="宋体" w:eastAsia="黑体"/>
          <w:sz w:val="32"/>
          <w:szCs w:val="32"/>
          <w:highlight w:val="none"/>
        </w:rPr>
      </w:pPr>
    </w:p>
    <w:p w14:paraId="387F8A7F">
      <w:pPr>
        <w:spacing w:line="440" w:lineRule="atLeast"/>
        <w:jc w:val="center"/>
        <w:rPr>
          <w:rFonts w:ascii="黑体" w:hAnsi="宋体" w:eastAsia="黑体"/>
          <w:sz w:val="32"/>
          <w:szCs w:val="32"/>
          <w:highlight w:val="none"/>
        </w:rPr>
      </w:pPr>
    </w:p>
    <w:p w14:paraId="24828330">
      <w:pPr>
        <w:snapToGrid w:val="0"/>
        <w:spacing w:line="440" w:lineRule="atLeast"/>
        <w:ind w:firstLine="560" w:firstLineChars="200"/>
        <w:rPr>
          <w:rFonts w:ascii="黑体" w:hAnsi="黑体" w:eastAsia="黑体"/>
          <w:sz w:val="28"/>
          <w:szCs w:val="28"/>
          <w:highlight w:val="none"/>
        </w:rPr>
      </w:pPr>
    </w:p>
    <w:p w14:paraId="4D499C8B">
      <w:pPr>
        <w:keepNext w:val="0"/>
        <w:keepLines w:val="0"/>
        <w:pageBreakBefore w:val="0"/>
        <w:widowControl w:val="0"/>
        <w:kinsoku/>
        <w:wordWrap/>
        <w:overflowPunct/>
        <w:topLinePunct w:val="0"/>
        <w:autoSpaceDE/>
        <w:autoSpaceDN/>
        <w:bidi w:val="0"/>
        <w:adjustRightInd/>
        <w:snapToGrid w:val="0"/>
        <w:spacing w:line="440" w:lineRule="atLeast"/>
        <w:ind w:firstLine="480" w:firstLineChars="150"/>
        <w:jc w:val="both"/>
        <w:textAlignment w:val="auto"/>
        <w:rPr>
          <w:rFonts w:hint="default" w:ascii="宋体" w:hAnsi="宋体" w:cs="宋体"/>
          <w:spacing w:val="-6"/>
          <w:w w:val="98"/>
          <w:sz w:val="32"/>
          <w:szCs w:val="32"/>
          <w:highlight w:val="none"/>
          <w:u w:val="single"/>
          <w:lang w:val="en-US" w:eastAsia="zh-CN"/>
        </w:rPr>
      </w:pPr>
      <w:r>
        <w:rPr>
          <w:rFonts w:hint="eastAsia" w:ascii="宋体" w:hAnsi="宋体" w:cs="宋体"/>
          <w:sz w:val="32"/>
          <w:szCs w:val="32"/>
          <w:highlight w:val="none"/>
          <w:lang w:val="en-US" w:eastAsia="zh-CN"/>
        </w:rPr>
        <w:t>项目名称</w:t>
      </w:r>
      <w:r>
        <w:rPr>
          <w:rFonts w:hint="eastAsia" w:ascii="宋体" w:hAnsi="宋体" w:eastAsia="宋体" w:cs="宋体"/>
          <w:sz w:val="32"/>
          <w:szCs w:val="32"/>
          <w:highlight w:val="none"/>
        </w:rPr>
        <w:t>：</w:t>
      </w:r>
      <w:r>
        <w:rPr>
          <w:rFonts w:hint="eastAsia" w:ascii="宋体" w:hAnsi="宋体" w:cs="宋体"/>
          <w:spacing w:val="-6"/>
          <w:w w:val="98"/>
          <w:sz w:val="32"/>
          <w:szCs w:val="32"/>
          <w:highlight w:val="none"/>
          <w:u w:val="single"/>
          <w:lang w:val="en-US" w:eastAsia="zh-CN"/>
        </w:rPr>
        <w:t xml:space="preserve">                                                </w:t>
      </w:r>
    </w:p>
    <w:p w14:paraId="2B7E9B06">
      <w:pPr>
        <w:snapToGrid w:val="0"/>
        <w:spacing w:line="440" w:lineRule="atLeast"/>
        <w:ind w:firstLine="662" w:firstLineChars="207"/>
        <w:rPr>
          <w:rFonts w:hint="eastAsia" w:ascii="宋体" w:hAnsi="宋体" w:eastAsia="宋体" w:cs="宋体"/>
          <w:sz w:val="32"/>
          <w:szCs w:val="32"/>
          <w:highlight w:val="none"/>
          <w:u w:val="single"/>
        </w:rPr>
      </w:pPr>
    </w:p>
    <w:p w14:paraId="65017ED1">
      <w:pPr>
        <w:snapToGrid w:val="0"/>
        <w:spacing w:line="440" w:lineRule="atLeast"/>
        <w:rPr>
          <w:rFonts w:hint="eastAsia" w:ascii="宋体" w:hAnsi="宋体" w:eastAsia="宋体" w:cs="宋体"/>
          <w:sz w:val="32"/>
          <w:szCs w:val="32"/>
          <w:highlight w:val="none"/>
          <w:u w:val="single"/>
        </w:rPr>
      </w:pPr>
    </w:p>
    <w:p w14:paraId="12B3B299">
      <w:pPr>
        <w:keepNext w:val="0"/>
        <w:keepLines w:val="0"/>
        <w:pageBreakBefore w:val="0"/>
        <w:widowControl w:val="0"/>
        <w:kinsoku/>
        <w:wordWrap/>
        <w:overflowPunct/>
        <w:topLinePunct w:val="0"/>
        <w:autoSpaceDE/>
        <w:autoSpaceDN/>
        <w:bidi w:val="0"/>
        <w:adjustRightInd/>
        <w:snapToGrid w:val="0"/>
        <w:spacing w:line="440" w:lineRule="atLeast"/>
        <w:ind w:firstLine="480" w:firstLineChars="150"/>
        <w:textAlignment w:val="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投标文件内容：</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u w:val="single"/>
        </w:rPr>
        <w:tab/>
      </w:r>
      <w:r>
        <w:rPr>
          <w:rFonts w:hint="eastAsia" w:ascii="宋体" w:hAnsi="宋体" w:eastAsia="宋体" w:cs="宋体"/>
          <w:sz w:val="32"/>
          <w:szCs w:val="32"/>
          <w:highlight w:val="none"/>
          <w:u w:val="single"/>
        </w:rPr>
        <w:t xml:space="preserve">  </w:t>
      </w:r>
      <w:r>
        <w:rPr>
          <w:rFonts w:hint="eastAsia" w:ascii="宋体" w:hAnsi="宋体" w:eastAsia="宋体" w:cs="宋体"/>
          <w:spacing w:val="-6"/>
          <w:sz w:val="32"/>
          <w:szCs w:val="32"/>
          <w:highlight w:val="none"/>
          <w:u w:val="single"/>
          <w:lang w:eastAsia="zh-CN"/>
        </w:rPr>
        <w:t xml:space="preserve"> </w:t>
      </w:r>
      <w:r>
        <w:rPr>
          <w:rFonts w:hint="eastAsia" w:ascii="宋体" w:hAnsi="宋体" w:eastAsia="宋体" w:cs="宋体"/>
          <w:spacing w:val="-6"/>
          <w:sz w:val="32"/>
          <w:szCs w:val="32"/>
          <w:highlight w:val="none"/>
          <w:u w:val="single"/>
          <w:lang w:val="en-US" w:eastAsia="zh-CN"/>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投标文件资格审查资料</w:t>
      </w:r>
      <w:r>
        <w:rPr>
          <w:rFonts w:hint="eastAsia" w:ascii="宋体" w:hAnsi="宋体" w:eastAsia="宋体" w:cs="宋体"/>
          <w:spacing w:val="-6"/>
          <w:sz w:val="32"/>
          <w:szCs w:val="32"/>
          <w:highlight w:val="none"/>
          <w:u w:val="single"/>
          <w:lang w:eastAsia="zh-CN"/>
        </w:rPr>
        <w:t xml:space="preserve"> </w:t>
      </w:r>
      <w:r>
        <w:rPr>
          <w:rFonts w:hint="eastAsia" w:ascii="宋体" w:hAnsi="宋体" w:cs="宋体"/>
          <w:spacing w:val="-6"/>
          <w:sz w:val="32"/>
          <w:szCs w:val="32"/>
          <w:highlight w:val="none"/>
          <w:u w:val="single"/>
          <w:lang w:val="en-US" w:eastAsia="zh-CN"/>
        </w:rPr>
        <w:t xml:space="preserve">  </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u w:val="single"/>
          <w:lang w:val="en-US" w:eastAsia="zh-CN"/>
        </w:rPr>
        <w:t xml:space="preserve">     </w:t>
      </w:r>
      <w:r>
        <w:rPr>
          <w:rFonts w:hint="eastAsia" w:ascii="宋体" w:hAnsi="宋体" w:eastAsia="宋体" w:cs="宋体"/>
          <w:sz w:val="32"/>
          <w:szCs w:val="32"/>
          <w:highlight w:val="none"/>
          <w:u w:val="single"/>
        </w:rPr>
        <w:t xml:space="preserve"> </w:t>
      </w:r>
    </w:p>
    <w:p w14:paraId="4826A185">
      <w:pPr>
        <w:spacing w:line="440" w:lineRule="atLeast"/>
        <w:jc w:val="both"/>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  </w:t>
      </w:r>
    </w:p>
    <w:p w14:paraId="43B3AA63">
      <w:pPr>
        <w:spacing w:line="240" w:lineRule="exact"/>
        <w:ind w:firstLine="640" w:firstLineChars="200"/>
        <w:rPr>
          <w:rFonts w:hint="eastAsia" w:ascii="宋体" w:hAnsi="宋体" w:eastAsia="宋体" w:cs="宋体"/>
          <w:sz w:val="32"/>
          <w:szCs w:val="32"/>
          <w:highlight w:val="none"/>
        </w:rPr>
      </w:pPr>
    </w:p>
    <w:p w14:paraId="1B3026E0">
      <w:pPr>
        <w:keepNext w:val="0"/>
        <w:keepLines w:val="0"/>
        <w:pageBreakBefore w:val="0"/>
        <w:widowControl w:val="0"/>
        <w:kinsoku/>
        <w:wordWrap/>
        <w:overflowPunct/>
        <w:topLinePunct w:val="0"/>
        <w:autoSpaceDE/>
        <w:autoSpaceDN/>
        <w:bidi w:val="0"/>
        <w:adjustRightInd/>
        <w:snapToGrid/>
        <w:spacing w:line="440" w:lineRule="atLeast"/>
        <w:ind w:firstLine="480" w:firstLineChars="150"/>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投标人：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u w:val="single"/>
          <w:lang w:val="en-US" w:eastAsia="zh-CN"/>
        </w:rPr>
        <w:t xml:space="preserve">   </w:t>
      </w:r>
      <w:r>
        <w:rPr>
          <w:rFonts w:hint="eastAsia" w:ascii="宋体" w:hAnsi="宋体" w:cs="宋体"/>
          <w:sz w:val="32"/>
          <w:szCs w:val="32"/>
          <w:highlight w:val="none"/>
          <w:u w:val="single"/>
          <w:lang w:val="en-US" w:eastAsia="zh-CN"/>
        </w:rPr>
        <w:t xml:space="preserve">     </w:t>
      </w:r>
      <w:r>
        <w:rPr>
          <w:rFonts w:hint="eastAsia" w:ascii="宋体" w:hAnsi="宋体" w:eastAsia="宋体" w:cs="宋体"/>
          <w:sz w:val="32"/>
          <w:szCs w:val="32"/>
          <w:highlight w:val="none"/>
          <w:u w:val="single"/>
          <w:lang w:val="en-US" w:eastAsia="zh-CN"/>
        </w:rPr>
        <w:t xml:space="preserve">   </w:t>
      </w:r>
      <w:r>
        <w:rPr>
          <w:rFonts w:hint="eastAsia" w:ascii="宋体" w:hAnsi="宋体" w:eastAsia="宋体" w:cs="宋体"/>
          <w:sz w:val="32"/>
          <w:szCs w:val="32"/>
          <w:highlight w:val="none"/>
          <w:u w:val="single"/>
        </w:rPr>
        <w:t xml:space="preserve">                 （单位盖章）</w:t>
      </w:r>
    </w:p>
    <w:p w14:paraId="616405D5">
      <w:pPr>
        <w:keepNext w:val="0"/>
        <w:keepLines w:val="0"/>
        <w:pageBreakBefore w:val="0"/>
        <w:widowControl w:val="0"/>
        <w:kinsoku/>
        <w:wordWrap/>
        <w:overflowPunct/>
        <w:topLinePunct w:val="0"/>
        <w:autoSpaceDE/>
        <w:autoSpaceDN/>
        <w:bidi w:val="0"/>
        <w:adjustRightInd/>
        <w:snapToGrid/>
        <w:spacing w:line="240" w:lineRule="exact"/>
        <w:ind w:firstLine="480" w:firstLineChars="150"/>
        <w:textAlignment w:val="auto"/>
        <w:rPr>
          <w:rFonts w:hint="eastAsia" w:ascii="宋体" w:hAnsi="宋体" w:eastAsia="宋体" w:cs="宋体"/>
          <w:sz w:val="32"/>
          <w:szCs w:val="32"/>
          <w:highlight w:val="none"/>
        </w:rPr>
      </w:pPr>
    </w:p>
    <w:p w14:paraId="43AAF103">
      <w:pPr>
        <w:keepNext w:val="0"/>
        <w:keepLines w:val="0"/>
        <w:pageBreakBefore w:val="0"/>
        <w:widowControl w:val="0"/>
        <w:kinsoku/>
        <w:wordWrap/>
        <w:overflowPunct/>
        <w:topLinePunct w:val="0"/>
        <w:autoSpaceDE/>
        <w:autoSpaceDN/>
        <w:bidi w:val="0"/>
        <w:adjustRightInd/>
        <w:snapToGrid/>
        <w:spacing w:line="240" w:lineRule="auto"/>
        <w:ind w:firstLine="480" w:firstLineChars="150"/>
        <w:jc w:val="both"/>
        <w:textAlignment w:val="auto"/>
        <w:rPr>
          <w:rFonts w:hint="eastAsia" w:ascii="宋体" w:hAnsi="宋体" w:eastAsia="宋体" w:cs="宋体"/>
          <w:color w:val="auto"/>
          <w:sz w:val="32"/>
          <w:szCs w:val="32"/>
          <w:highlight w:val="none"/>
        </w:rPr>
      </w:pPr>
    </w:p>
    <w:p w14:paraId="59A3A661">
      <w:pPr>
        <w:keepNext w:val="0"/>
        <w:keepLines w:val="0"/>
        <w:pageBreakBefore w:val="0"/>
        <w:widowControl w:val="0"/>
        <w:kinsoku/>
        <w:wordWrap/>
        <w:overflowPunct/>
        <w:topLinePunct w:val="0"/>
        <w:autoSpaceDE/>
        <w:autoSpaceDN/>
        <w:bidi w:val="0"/>
        <w:adjustRightInd/>
        <w:snapToGrid/>
        <w:spacing w:line="240" w:lineRule="auto"/>
        <w:ind w:firstLine="480" w:firstLineChars="150"/>
        <w:jc w:val="both"/>
        <w:textAlignment w:val="auto"/>
        <w:rPr>
          <w:rFonts w:hint="eastAsia" w:ascii="宋体" w:hAnsi="宋体" w:eastAsia="宋体" w:cs="宋体"/>
          <w:color w:val="auto"/>
          <w:sz w:val="32"/>
          <w:szCs w:val="32"/>
          <w:highlight w:val="none"/>
        </w:rPr>
      </w:pPr>
      <w:r>
        <w:rPr>
          <w:rFonts w:hint="eastAsia" w:ascii="宋体" w:hAnsi="宋体" w:eastAsia="宋体" w:cs="宋体"/>
          <w:sz w:val="32"/>
          <w:szCs w:val="32"/>
          <w:highlight w:val="none"/>
        </w:rPr>
        <w:t>法定代表</w:t>
      </w:r>
      <w:r>
        <w:rPr>
          <w:rFonts w:hint="eastAsia" w:ascii="宋体" w:hAnsi="宋体" w:eastAsia="宋体" w:cs="宋体"/>
          <w:color w:val="000000"/>
          <w:sz w:val="32"/>
          <w:szCs w:val="32"/>
          <w:highlight w:val="none"/>
        </w:rPr>
        <w:t>人或委托代理人：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sz w:val="32"/>
          <w:szCs w:val="32"/>
          <w:highlight w:val="none"/>
          <w:u w:val="single"/>
        </w:rPr>
        <w:t>（签字或盖章）</w:t>
      </w:r>
    </w:p>
    <w:p w14:paraId="2392EEEC">
      <w:pPr>
        <w:spacing w:line="440" w:lineRule="atLeast"/>
        <w:ind w:firstLine="640" w:firstLineChars="200"/>
        <w:rPr>
          <w:rFonts w:hint="eastAsia" w:ascii="宋体" w:hAnsi="宋体" w:eastAsia="宋体" w:cs="宋体"/>
          <w:sz w:val="32"/>
          <w:szCs w:val="32"/>
          <w:highlight w:val="none"/>
        </w:rPr>
      </w:pPr>
    </w:p>
    <w:p w14:paraId="701C73C0">
      <w:pPr>
        <w:spacing w:line="440" w:lineRule="atLeast"/>
        <w:jc w:val="center"/>
        <w:rPr>
          <w:rFonts w:hint="eastAsia" w:ascii="宋体" w:hAnsi="宋体" w:eastAsia="宋体" w:cs="宋体"/>
          <w:sz w:val="32"/>
          <w:szCs w:val="32"/>
          <w:highlight w:val="none"/>
        </w:rPr>
      </w:pPr>
    </w:p>
    <w:p w14:paraId="681154B7">
      <w:pPr>
        <w:spacing w:line="440" w:lineRule="atLeast"/>
        <w:ind w:firstLine="2880" w:firstLineChars="900"/>
        <w:rPr>
          <w:rFonts w:hint="eastAsia" w:ascii="宋体" w:hAnsi="宋体" w:eastAsia="宋体" w:cs="宋体"/>
          <w:sz w:val="32"/>
          <w:szCs w:val="32"/>
          <w:highlight w:val="none"/>
          <w:u w:val="single"/>
        </w:rPr>
      </w:pPr>
    </w:p>
    <w:p w14:paraId="3FF10AED">
      <w:pPr>
        <w:spacing w:line="440" w:lineRule="atLeast"/>
        <w:jc w:val="center"/>
        <w:rPr>
          <w:rFonts w:ascii="黑体" w:hAnsi="黑体" w:eastAsia="黑体"/>
          <w:sz w:val="28"/>
          <w:szCs w:val="28"/>
          <w:highlight w:val="none"/>
          <w:u w:val="none"/>
        </w:rPr>
      </w:pPr>
      <w:r>
        <w:rPr>
          <w:rFonts w:hint="eastAsia"/>
          <w:color w:val="auto"/>
          <w:sz w:val="32"/>
          <w:highlight w:val="none"/>
        </w:rPr>
        <w:t>日期：</w:t>
      </w:r>
      <w:r>
        <w:rPr>
          <w:rFonts w:hint="eastAsia"/>
          <w:color w:val="auto"/>
          <w:sz w:val="32"/>
          <w:highlight w:val="none"/>
          <w:u w:val="single"/>
          <w:lang w:val="en-US" w:eastAsia="zh-CN"/>
        </w:rPr>
        <w:t xml:space="preserve">       </w:t>
      </w:r>
      <w:r>
        <w:rPr>
          <w:rFonts w:hint="eastAsia"/>
          <w:color w:val="auto"/>
          <w:sz w:val="32"/>
          <w:highlight w:val="none"/>
        </w:rPr>
        <w:t>年</w:t>
      </w:r>
      <w:r>
        <w:rPr>
          <w:rFonts w:hint="eastAsia"/>
          <w:color w:val="auto"/>
          <w:sz w:val="32"/>
          <w:highlight w:val="none"/>
          <w:u w:val="single"/>
          <w:lang w:val="en-US" w:eastAsia="zh-CN"/>
        </w:rPr>
        <w:t xml:space="preserve">       </w:t>
      </w:r>
      <w:r>
        <w:rPr>
          <w:rFonts w:hint="eastAsia"/>
          <w:color w:val="auto"/>
          <w:sz w:val="32"/>
          <w:highlight w:val="none"/>
        </w:rPr>
        <w:t>月</w:t>
      </w:r>
      <w:r>
        <w:rPr>
          <w:rFonts w:hint="eastAsia"/>
          <w:color w:val="auto"/>
          <w:sz w:val="32"/>
          <w:highlight w:val="none"/>
          <w:u w:val="single"/>
          <w:lang w:val="en-US" w:eastAsia="zh-CN"/>
        </w:rPr>
        <w:t xml:space="preserve">       </w:t>
      </w:r>
      <w:r>
        <w:rPr>
          <w:rFonts w:hint="eastAsia"/>
          <w:color w:val="auto"/>
          <w:sz w:val="32"/>
          <w:highlight w:val="none"/>
          <w:lang w:val="en-US" w:eastAsia="zh-CN"/>
        </w:rPr>
        <w:t>日</w:t>
      </w:r>
    </w:p>
    <w:p w14:paraId="67C45044">
      <w:pPr>
        <w:spacing w:before="0" w:beforeLines="0" w:after="0" w:afterLines="0" w:line="240" w:lineRule="auto"/>
        <w:jc w:val="center"/>
        <w:rPr>
          <w:rFonts w:ascii="宋体" w:hAnsi="宋体"/>
          <w:b/>
          <w:sz w:val="28"/>
          <w:szCs w:val="28"/>
          <w:highlight w:val="none"/>
        </w:rPr>
      </w:pPr>
      <w:r>
        <w:rPr>
          <w:rFonts w:ascii="宋体" w:hAnsi="宋体"/>
          <w:sz w:val="28"/>
          <w:szCs w:val="28"/>
          <w:highlight w:val="none"/>
        </w:rPr>
        <w:br w:type="page"/>
      </w:r>
      <w:r>
        <w:rPr>
          <w:rFonts w:hint="eastAsia" w:ascii="宋体" w:hAnsi="宋体"/>
          <w:b/>
          <w:sz w:val="32"/>
          <w:szCs w:val="32"/>
          <w:highlight w:val="none"/>
        </w:rPr>
        <w:t>目</w:t>
      </w:r>
      <w:r>
        <w:rPr>
          <w:rFonts w:hint="eastAsia" w:ascii="宋体" w:hAnsi="宋体"/>
          <w:b/>
          <w:sz w:val="32"/>
          <w:szCs w:val="32"/>
          <w:highlight w:val="none"/>
          <w:lang w:val="en-US" w:eastAsia="zh-CN"/>
        </w:rPr>
        <w:t xml:space="preserve">  </w:t>
      </w:r>
      <w:r>
        <w:rPr>
          <w:rFonts w:hint="eastAsia" w:ascii="宋体" w:hAnsi="宋体"/>
          <w:b/>
          <w:sz w:val="32"/>
          <w:szCs w:val="32"/>
          <w:highlight w:val="none"/>
        </w:rPr>
        <w:t>录</w:t>
      </w:r>
    </w:p>
    <w:p w14:paraId="4BB043B5">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资质资格证明材料</w:t>
      </w:r>
    </w:p>
    <w:p w14:paraId="491238A1">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.项目管理班子配备</w:t>
      </w:r>
    </w:p>
    <w:p w14:paraId="7D8F50DA">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投标保证金</w:t>
      </w:r>
    </w:p>
    <w:p w14:paraId="7B5475F1">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.联合体协议书</w:t>
      </w:r>
      <w:r>
        <w:rPr>
          <w:rFonts w:hint="eastAsia" w:ascii="宋体" w:hAnsi="宋体" w:cs="宋体"/>
          <w:color w:val="000000" w:themeColor="text1"/>
          <w:highlight w:val="none"/>
          <w:lang w:eastAsia="zh-CN"/>
          <w14:textFill>
            <w14:solidFill>
              <w14:schemeClr w14:val="tx1"/>
            </w14:solidFill>
          </w14:textFill>
        </w:rPr>
        <w:t>（如有）</w:t>
      </w:r>
    </w:p>
    <w:p w14:paraId="228EE96F">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省外企业进浙承接业务备案证明</w:t>
      </w:r>
    </w:p>
    <w:p w14:paraId="3B334DDD">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提供投标人自招标公告发布之日至投标截止日之间任意一次在“浙江省建筑市场监管公共服务系统”上，参与投标资质的“资质动态核查结果证明”</w:t>
      </w:r>
    </w:p>
    <w:p w14:paraId="570285CF">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招标文件要求投标人提交的其他资料(详见投标须知前附表)</w:t>
      </w:r>
    </w:p>
    <w:p w14:paraId="4714368D">
      <w:r>
        <w:br w:type="page"/>
      </w:r>
    </w:p>
    <w:p w14:paraId="7F7BBFC7">
      <w:pPr>
        <w:jc w:val="cente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资质资格证明材料</w:t>
      </w:r>
    </w:p>
    <w:p w14:paraId="66060B22">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78978799">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5BC12F8D">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286ACC61">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69ECDD08">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26D8C43B">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178AFB78">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7618452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02551B2C">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10BB9372">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64C426D7">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32988E2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56B23DEC">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00ABED7A">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5B946CCD">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4B9F2EAA">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5E1A47C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2CA56D68">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3F08428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1E8FBD1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1415B445">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70FB80C1">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34574BF9">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05C38187">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407589D3">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4E55EB4A">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6E953695">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02D2D554">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3955E906">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pPr>
    </w:p>
    <w:p w14:paraId="29B41000">
      <w:pPr>
        <w:keepNext w:val="0"/>
        <w:keepLines w:val="0"/>
        <w:pageBreakBefore w:val="0"/>
        <w:widowControl w:val="0"/>
        <w:kinsoku/>
        <w:wordWrap/>
        <w:overflowPunct/>
        <w:topLinePunct w:val="0"/>
        <w:autoSpaceDE/>
        <w:autoSpaceDN/>
        <w:bidi w:val="0"/>
        <w:adjustRightInd w:val="0"/>
        <w:snapToGrid w:val="0"/>
        <w:spacing w:before="91" w:line="400" w:lineRule="exact"/>
        <w:ind w:left="2807"/>
        <w:jc w:val="both"/>
        <w:textAlignment w:val="auto"/>
        <w:outlineLvl w:val="9"/>
        <w:rPr>
          <w:rFonts w:hint="eastAsia" w:ascii="宋体" w:hAnsi="宋体" w:eastAsia="宋体" w:cs="宋体"/>
          <w:i w:val="0"/>
          <w:iCs w:val="0"/>
          <w:color w:val="000000" w:themeColor="text1"/>
          <w:spacing w:val="0"/>
          <w:sz w:val="28"/>
          <w:szCs w:val="28"/>
          <w:highlight w:val="none"/>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t>项目管理班子配备情况表</w:t>
      </w:r>
    </w:p>
    <w:p w14:paraId="090A6453">
      <w:pPr>
        <w:keepNext w:val="0"/>
        <w:keepLines w:val="0"/>
        <w:pageBreakBefore w:val="0"/>
        <w:widowControl w:val="0"/>
        <w:kinsoku/>
        <w:wordWrap/>
        <w:overflowPunct/>
        <w:topLinePunct w:val="0"/>
        <w:autoSpaceDE/>
        <w:autoSpaceDN/>
        <w:bidi w:val="0"/>
        <w:adjustRightInd w:val="0"/>
        <w:snapToGrid w:val="0"/>
        <w:spacing w:before="258" w:line="400" w:lineRule="exact"/>
        <w:ind w:firstLine="630" w:firstLineChars="300"/>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项目名称：</w:t>
      </w:r>
    </w:p>
    <w:tbl>
      <w:tblPr>
        <w:tblStyle w:val="60"/>
        <w:tblW w:w="840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720"/>
        <w:gridCol w:w="720"/>
        <w:gridCol w:w="887"/>
        <w:gridCol w:w="739"/>
        <w:gridCol w:w="759"/>
        <w:gridCol w:w="760"/>
        <w:gridCol w:w="1119"/>
        <w:gridCol w:w="979"/>
        <w:gridCol w:w="1074"/>
      </w:tblGrid>
      <w:tr w14:paraId="3BEE0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652" w:type="dxa"/>
            <w:vMerge w:val="restart"/>
            <w:tcBorders>
              <w:bottom w:val="nil"/>
            </w:tcBorders>
            <w:textDirection w:val="tbRlV"/>
            <w:vAlign w:val="top"/>
          </w:tcPr>
          <w:p w14:paraId="2ECA4E91">
            <w:pPr>
              <w:pStyle w:val="43"/>
              <w:keepNext w:val="0"/>
              <w:keepLines w:val="0"/>
              <w:pageBreakBefore w:val="0"/>
              <w:widowControl w:val="0"/>
              <w:kinsoku/>
              <w:wordWrap/>
              <w:overflowPunct/>
              <w:topLinePunct w:val="0"/>
              <w:autoSpaceDE/>
              <w:autoSpaceDN/>
              <w:bidi w:val="0"/>
              <w:adjustRightInd w:val="0"/>
              <w:snapToGrid w:val="0"/>
              <w:spacing w:before="202" w:line="400" w:lineRule="exact"/>
              <w:ind w:left="3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 务</w:t>
            </w:r>
          </w:p>
        </w:tc>
        <w:tc>
          <w:tcPr>
            <w:tcW w:w="720" w:type="dxa"/>
            <w:vMerge w:val="restart"/>
            <w:tcBorders>
              <w:bottom w:val="nil"/>
            </w:tcBorders>
            <w:vAlign w:val="top"/>
          </w:tcPr>
          <w:p w14:paraId="2CA9EDF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FDE9EA3">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姓名</w:t>
            </w:r>
          </w:p>
        </w:tc>
        <w:tc>
          <w:tcPr>
            <w:tcW w:w="720" w:type="dxa"/>
            <w:vMerge w:val="restart"/>
            <w:tcBorders>
              <w:bottom w:val="nil"/>
            </w:tcBorders>
            <w:vAlign w:val="top"/>
          </w:tcPr>
          <w:p w14:paraId="3E74F2A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058ADC5">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职称</w:t>
            </w:r>
          </w:p>
        </w:tc>
        <w:tc>
          <w:tcPr>
            <w:tcW w:w="4264" w:type="dxa"/>
            <w:gridSpan w:val="5"/>
            <w:vAlign w:val="top"/>
          </w:tcPr>
          <w:p w14:paraId="560A76C7">
            <w:pPr>
              <w:pStyle w:val="43"/>
              <w:keepNext w:val="0"/>
              <w:keepLines w:val="0"/>
              <w:pageBreakBefore w:val="0"/>
              <w:widowControl w:val="0"/>
              <w:kinsoku/>
              <w:wordWrap/>
              <w:overflowPunct/>
              <w:topLinePunct w:val="0"/>
              <w:autoSpaceDE/>
              <w:autoSpaceDN/>
              <w:bidi w:val="0"/>
              <w:adjustRightInd w:val="0"/>
              <w:snapToGrid w:val="0"/>
              <w:spacing w:before="213" w:line="400" w:lineRule="exact"/>
              <w:ind w:left="144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岗位资格证明</w:t>
            </w:r>
          </w:p>
        </w:tc>
        <w:tc>
          <w:tcPr>
            <w:tcW w:w="2053" w:type="dxa"/>
            <w:gridSpan w:val="2"/>
            <w:vAlign w:val="top"/>
          </w:tcPr>
          <w:p w14:paraId="426BBE3B">
            <w:pPr>
              <w:pStyle w:val="43"/>
              <w:keepNext w:val="0"/>
              <w:keepLines w:val="0"/>
              <w:pageBreakBefore w:val="0"/>
              <w:widowControl w:val="0"/>
              <w:kinsoku/>
              <w:wordWrap/>
              <w:overflowPunct/>
              <w:topLinePunct w:val="0"/>
              <w:autoSpaceDE/>
              <w:autoSpaceDN/>
              <w:bidi w:val="0"/>
              <w:adjustRightInd w:val="0"/>
              <w:snapToGrid w:val="0"/>
              <w:spacing w:before="49" w:line="400" w:lineRule="exact"/>
              <w:ind w:left="793" w:right="183" w:hanging="57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已承担在建工程 情况</w:t>
            </w:r>
          </w:p>
        </w:tc>
      </w:tr>
      <w:tr w14:paraId="1CC63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52" w:type="dxa"/>
            <w:vMerge w:val="continue"/>
            <w:tcBorders>
              <w:top w:val="nil"/>
            </w:tcBorders>
            <w:textDirection w:val="tbRlV"/>
            <w:vAlign w:val="top"/>
          </w:tcPr>
          <w:p w14:paraId="55034D8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Merge w:val="continue"/>
            <w:tcBorders>
              <w:top w:val="nil"/>
            </w:tcBorders>
            <w:vAlign w:val="top"/>
          </w:tcPr>
          <w:p w14:paraId="1510474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Merge w:val="continue"/>
            <w:tcBorders>
              <w:top w:val="nil"/>
            </w:tcBorders>
            <w:vAlign w:val="top"/>
          </w:tcPr>
          <w:p w14:paraId="6E8A54C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7967E57">
            <w:pPr>
              <w:pStyle w:val="43"/>
              <w:keepNext w:val="0"/>
              <w:keepLines w:val="0"/>
              <w:pageBreakBefore w:val="0"/>
              <w:widowControl w:val="0"/>
              <w:kinsoku/>
              <w:wordWrap/>
              <w:overflowPunct/>
              <w:topLinePunct w:val="0"/>
              <w:autoSpaceDE/>
              <w:autoSpaceDN/>
              <w:bidi w:val="0"/>
              <w:adjustRightInd w:val="0"/>
              <w:snapToGrid w:val="0"/>
              <w:spacing w:before="44" w:line="400" w:lineRule="exact"/>
              <w:ind w:left="20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证书</w:t>
            </w:r>
          </w:p>
          <w:p w14:paraId="69CCBBB7">
            <w:pPr>
              <w:pStyle w:val="43"/>
              <w:keepNext w:val="0"/>
              <w:keepLines w:val="0"/>
              <w:pageBreakBefore w:val="0"/>
              <w:widowControl w:val="0"/>
              <w:kinsoku/>
              <w:wordWrap/>
              <w:overflowPunct/>
              <w:topLinePunct w:val="0"/>
              <w:autoSpaceDE/>
              <w:autoSpaceDN/>
              <w:bidi w:val="0"/>
              <w:adjustRightInd w:val="0"/>
              <w:snapToGrid w:val="0"/>
              <w:spacing w:line="400" w:lineRule="exact"/>
              <w:ind w:left="2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名称</w:t>
            </w:r>
          </w:p>
        </w:tc>
        <w:tc>
          <w:tcPr>
            <w:tcW w:w="739" w:type="dxa"/>
            <w:vAlign w:val="top"/>
          </w:tcPr>
          <w:p w14:paraId="5BF6F95A">
            <w:pPr>
              <w:pStyle w:val="43"/>
              <w:keepNext w:val="0"/>
              <w:keepLines w:val="0"/>
              <w:pageBreakBefore w:val="0"/>
              <w:widowControl w:val="0"/>
              <w:kinsoku/>
              <w:wordWrap/>
              <w:overflowPunct/>
              <w:topLinePunct w:val="0"/>
              <w:autoSpaceDE/>
              <w:autoSpaceDN/>
              <w:bidi w:val="0"/>
              <w:adjustRightInd w:val="0"/>
              <w:snapToGrid w:val="0"/>
              <w:spacing w:before="207" w:line="400" w:lineRule="exact"/>
              <w:ind w:left="13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级别</w:t>
            </w:r>
          </w:p>
        </w:tc>
        <w:tc>
          <w:tcPr>
            <w:tcW w:w="759" w:type="dxa"/>
            <w:vAlign w:val="top"/>
          </w:tcPr>
          <w:p w14:paraId="49BD2C1D">
            <w:pPr>
              <w:pStyle w:val="43"/>
              <w:keepNext w:val="0"/>
              <w:keepLines w:val="0"/>
              <w:pageBreakBefore w:val="0"/>
              <w:widowControl w:val="0"/>
              <w:kinsoku/>
              <w:wordWrap/>
              <w:overflowPunct/>
              <w:topLinePunct w:val="0"/>
              <w:autoSpaceDE/>
              <w:autoSpaceDN/>
              <w:bidi w:val="0"/>
              <w:adjustRightInd w:val="0"/>
              <w:snapToGrid w:val="0"/>
              <w:spacing w:before="206" w:line="400" w:lineRule="exact"/>
              <w:ind w:left="14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证号</w:t>
            </w:r>
          </w:p>
        </w:tc>
        <w:tc>
          <w:tcPr>
            <w:tcW w:w="760" w:type="dxa"/>
            <w:vAlign w:val="top"/>
          </w:tcPr>
          <w:p w14:paraId="679604BC">
            <w:pPr>
              <w:pStyle w:val="43"/>
              <w:keepNext w:val="0"/>
              <w:keepLines w:val="0"/>
              <w:pageBreakBefore w:val="0"/>
              <w:widowControl w:val="0"/>
              <w:kinsoku/>
              <w:wordWrap/>
              <w:overflowPunct/>
              <w:topLinePunct w:val="0"/>
              <w:autoSpaceDE/>
              <w:autoSpaceDN/>
              <w:bidi w:val="0"/>
              <w:adjustRightInd w:val="0"/>
              <w:snapToGrid w:val="0"/>
              <w:spacing w:before="207" w:line="400" w:lineRule="exact"/>
              <w:ind w:left="14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专业</w:t>
            </w:r>
          </w:p>
        </w:tc>
        <w:tc>
          <w:tcPr>
            <w:tcW w:w="1119" w:type="dxa"/>
            <w:vAlign w:val="top"/>
          </w:tcPr>
          <w:p w14:paraId="24555200">
            <w:pPr>
              <w:pStyle w:val="43"/>
              <w:keepNext w:val="0"/>
              <w:keepLines w:val="0"/>
              <w:pageBreakBefore w:val="0"/>
              <w:widowControl w:val="0"/>
              <w:kinsoku/>
              <w:wordWrap/>
              <w:overflowPunct/>
              <w:topLinePunct w:val="0"/>
              <w:autoSpaceDE/>
              <w:autoSpaceDN/>
              <w:bidi w:val="0"/>
              <w:adjustRightInd w:val="0"/>
              <w:snapToGrid w:val="0"/>
              <w:spacing w:before="44" w:line="400" w:lineRule="exact"/>
              <w:ind w:left="328" w:right="197" w:hanging="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原服务 单位</w:t>
            </w:r>
          </w:p>
        </w:tc>
        <w:tc>
          <w:tcPr>
            <w:tcW w:w="979" w:type="dxa"/>
            <w:vAlign w:val="top"/>
          </w:tcPr>
          <w:p w14:paraId="1EC61051">
            <w:pPr>
              <w:pStyle w:val="43"/>
              <w:keepNext w:val="0"/>
              <w:keepLines w:val="0"/>
              <w:pageBreakBefore w:val="0"/>
              <w:widowControl w:val="0"/>
              <w:kinsoku/>
              <w:wordWrap/>
              <w:overflowPunct/>
              <w:topLinePunct w:val="0"/>
              <w:autoSpaceDE/>
              <w:autoSpaceDN/>
              <w:bidi w:val="0"/>
              <w:adjustRightInd w:val="0"/>
              <w:snapToGrid w:val="0"/>
              <w:spacing w:before="207" w:line="400" w:lineRule="exact"/>
              <w:ind w:left="14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项目数</w:t>
            </w:r>
          </w:p>
        </w:tc>
        <w:tc>
          <w:tcPr>
            <w:tcW w:w="1074" w:type="dxa"/>
            <w:vAlign w:val="top"/>
          </w:tcPr>
          <w:p w14:paraId="6F6906CB">
            <w:pPr>
              <w:pStyle w:val="43"/>
              <w:keepNext w:val="0"/>
              <w:keepLines w:val="0"/>
              <w:pageBreakBefore w:val="0"/>
              <w:widowControl w:val="0"/>
              <w:kinsoku/>
              <w:wordWrap/>
              <w:overflowPunct/>
              <w:topLinePunct w:val="0"/>
              <w:autoSpaceDE/>
              <w:autoSpaceDN/>
              <w:bidi w:val="0"/>
              <w:adjustRightInd w:val="0"/>
              <w:snapToGrid w:val="0"/>
              <w:spacing w:before="44" w:line="400" w:lineRule="exact"/>
              <w:ind w:left="229" w:right="174" w:hanging="4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主要项 目名称</w:t>
            </w:r>
          </w:p>
        </w:tc>
      </w:tr>
      <w:tr w14:paraId="70256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7E6912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EC699D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4AC9EC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19EB37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20F3C7A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684B395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5633F0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35F0629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6D9A232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2FB20F3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3D29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6224CE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D4A3EB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43AD8F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F1E29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0F70E19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62E003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63C0DBF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0EC6BE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1590BDB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6B25F10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EDC3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330FEFF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F93F91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AEB07E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A16217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3E0F5E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7FAF73E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194B4A0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7FE8B76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30E57EF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06C66C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BB0B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1A588EA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AB8DE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36B09B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53D831E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17DDB29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7A3C2F9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69411E5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7614B57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0D3790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256FC9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A7A8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71801DB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A8C5F3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6F46A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5EB5A7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3DAF52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251896A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189568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7CFE17F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7420212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6CFE530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60B9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07229B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CCD47D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C90FAE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55B08BE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75B038B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405F714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10427D4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76C3B30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4F6DFE3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6E3A6E2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98BE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79E8CF3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29EDA9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59C47C3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FE239D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4977F3B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30C2FD5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45D3378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2F98457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5A2E70E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73FA4F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6EA8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45B22A1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886CF9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D72F79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9E3324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09D6401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3D2C430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2AC57E9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20B5528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00456DD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578566A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AA6D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6BD2FDB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945D5F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504AD07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035DC3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2B77F92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605C450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30DB2C7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3D771A7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6B37983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235179D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01AF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5FA4140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18BF7D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AF70D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236649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4956E62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1D854BE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0D6CDC3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710897C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19C3903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105DB10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39CD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705C94F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49A54F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5D72DD5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5374DB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3AF73D0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221A24A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1DB7BBA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3C14A70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4B198BD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730DFE3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525A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6FA6AF0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CDDE55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6EFBB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057ABD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39" w:type="dxa"/>
            <w:vAlign w:val="top"/>
          </w:tcPr>
          <w:p w14:paraId="693F2FE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59" w:type="dxa"/>
            <w:vAlign w:val="top"/>
          </w:tcPr>
          <w:p w14:paraId="4A4AF8B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60" w:type="dxa"/>
            <w:vAlign w:val="top"/>
          </w:tcPr>
          <w:p w14:paraId="7DD06E9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19" w:type="dxa"/>
            <w:vAlign w:val="top"/>
          </w:tcPr>
          <w:p w14:paraId="319A1F3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979" w:type="dxa"/>
            <w:vAlign w:val="top"/>
          </w:tcPr>
          <w:p w14:paraId="493330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74" w:type="dxa"/>
            <w:vAlign w:val="top"/>
          </w:tcPr>
          <w:p w14:paraId="4E446B1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4BBC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7" w:hRule="atLeast"/>
          <w:jc w:val="center"/>
        </w:trPr>
        <w:tc>
          <w:tcPr>
            <w:tcW w:w="8409" w:type="dxa"/>
            <w:gridSpan w:val="10"/>
            <w:vAlign w:val="top"/>
          </w:tcPr>
          <w:p w14:paraId="5DABD133">
            <w:pPr>
              <w:pStyle w:val="43"/>
              <w:keepNext w:val="0"/>
              <w:keepLines w:val="0"/>
              <w:pageBreakBefore w:val="0"/>
              <w:widowControl w:val="0"/>
              <w:kinsoku/>
              <w:wordWrap/>
              <w:overflowPunct/>
              <w:topLinePunct w:val="0"/>
              <w:autoSpaceDE/>
              <w:autoSpaceDN/>
              <w:bidi w:val="0"/>
              <w:adjustRightInd w:val="0"/>
              <w:snapToGrid w:val="0"/>
              <w:spacing w:before="130" w:line="400" w:lineRule="exact"/>
              <w:ind w:left="116" w:right="106" w:firstLine="54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本工程一旦我单位中标，将实行项目负责人负责制，并配备上述项目管理班子。上述填报内容真实，若不真实，愿按有关规定接受处理。项目管理班子机构设置、职责分工等情况另附资料说明。</w:t>
            </w:r>
          </w:p>
        </w:tc>
      </w:tr>
    </w:tbl>
    <w:p w14:paraId="60A2D15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2E3F39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8" w:type="default"/>
          <w:pgSz w:w="11850" w:h="16783"/>
          <w:pgMar w:top="1134" w:right="1134" w:bottom="1134" w:left="1134" w:header="0" w:footer="992" w:gutter="0"/>
          <w:pgNumType w:fmt="decimal"/>
          <w:cols w:space="720" w:num="1"/>
        </w:sectPr>
      </w:pPr>
    </w:p>
    <w:p w14:paraId="5F1AC2E1">
      <w:pPr>
        <w:keepNext w:val="0"/>
        <w:keepLines w:val="0"/>
        <w:pageBreakBefore w:val="0"/>
        <w:widowControl w:val="0"/>
        <w:kinsoku/>
        <w:wordWrap/>
        <w:overflowPunct/>
        <w:topLinePunct w:val="0"/>
        <w:autoSpaceDE/>
        <w:autoSpaceDN/>
        <w:bidi w:val="0"/>
        <w:adjustRightInd w:val="0"/>
        <w:snapToGrid w:val="0"/>
        <w:spacing w:before="128" w:line="400" w:lineRule="exact"/>
        <w:jc w:val="center"/>
        <w:textAlignment w:val="auto"/>
        <w:outlineLvl w:val="9"/>
        <w:rPr>
          <w:rFonts w:hint="eastAsia" w:ascii="宋体" w:hAnsi="宋体" w:eastAsia="宋体" w:cs="宋体"/>
          <w:i w:val="0"/>
          <w:iCs w:val="0"/>
          <w:color w:val="000000" w:themeColor="text1"/>
          <w:spacing w:val="0"/>
          <w:sz w:val="28"/>
          <w:szCs w:val="28"/>
          <w:highlight w:val="none"/>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t>表1</w:t>
      </w:r>
      <w:r>
        <w:rPr>
          <w:rFonts w:hint="eastAsia" w:ascii="宋体" w:hAnsi="宋体" w:eastAsia="宋体" w:cs="宋体"/>
          <w:i w:val="0"/>
          <w:iCs w:val="0"/>
          <w:color w:val="000000" w:themeColor="text1"/>
          <w:spacing w:val="0"/>
          <w:sz w:val="28"/>
          <w:szCs w:val="28"/>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t>项目负责人/施工负责人/设计负责人简历表</w:t>
      </w:r>
    </w:p>
    <w:p w14:paraId="5BBDC45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bl>
      <w:tblPr>
        <w:tblStyle w:val="60"/>
        <w:tblW w:w="8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4"/>
        <w:gridCol w:w="1479"/>
        <w:gridCol w:w="1312"/>
        <w:gridCol w:w="1629"/>
        <w:gridCol w:w="1479"/>
        <w:gridCol w:w="1196"/>
      </w:tblGrid>
      <w:tr w14:paraId="689BF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jc w:val="center"/>
        </w:trPr>
        <w:tc>
          <w:tcPr>
            <w:tcW w:w="1484" w:type="dxa"/>
            <w:vAlign w:val="center"/>
          </w:tcPr>
          <w:p w14:paraId="4D30E340">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姓名</w:t>
            </w:r>
          </w:p>
        </w:tc>
        <w:tc>
          <w:tcPr>
            <w:tcW w:w="1479" w:type="dxa"/>
            <w:vAlign w:val="center"/>
          </w:tcPr>
          <w:p w14:paraId="3EE7FECF">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center"/>
          </w:tcPr>
          <w:p w14:paraId="6029A8AF">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性别</w:t>
            </w:r>
          </w:p>
        </w:tc>
        <w:tc>
          <w:tcPr>
            <w:tcW w:w="1629" w:type="dxa"/>
            <w:vAlign w:val="center"/>
          </w:tcPr>
          <w:p w14:paraId="3F682CFA">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center"/>
          </w:tcPr>
          <w:p w14:paraId="6A83B413">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年龄</w:t>
            </w:r>
          </w:p>
        </w:tc>
        <w:tc>
          <w:tcPr>
            <w:tcW w:w="1196" w:type="dxa"/>
            <w:vAlign w:val="top"/>
          </w:tcPr>
          <w:p w14:paraId="3745A4F8">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C730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1484" w:type="dxa"/>
            <w:vAlign w:val="center"/>
          </w:tcPr>
          <w:p w14:paraId="7CE12A91">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职务</w:t>
            </w:r>
          </w:p>
        </w:tc>
        <w:tc>
          <w:tcPr>
            <w:tcW w:w="1479" w:type="dxa"/>
            <w:vAlign w:val="center"/>
          </w:tcPr>
          <w:p w14:paraId="27775B62">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center"/>
          </w:tcPr>
          <w:p w14:paraId="4700BF02">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职称</w:t>
            </w:r>
          </w:p>
        </w:tc>
        <w:tc>
          <w:tcPr>
            <w:tcW w:w="1629" w:type="dxa"/>
            <w:vAlign w:val="center"/>
          </w:tcPr>
          <w:p w14:paraId="2E691471">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center"/>
          </w:tcPr>
          <w:p w14:paraId="0027B8B6">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学历</w:t>
            </w:r>
          </w:p>
        </w:tc>
        <w:tc>
          <w:tcPr>
            <w:tcW w:w="1196" w:type="dxa"/>
            <w:vAlign w:val="top"/>
          </w:tcPr>
          <w:p w14:paraId="476DB629">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F741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2963" w:type="dxa"/>
            <w:gridSpan w:val="2"/>
            <w:vAlign w:val="center"/>
          </w:tcPr>
          <w:p w14:paraId="089FE68B">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参加工作时间</w:t>
            </w:r>
          </w:p>
        </w:tc>
        <w:tc>
          <w:tcPr>
            <w:tcW w:w="1312" w:type="dxa"/>
            <w:vAlign w:val="center"/>
          </w:tcPr>
          <w:p w14:paraId="518ED73D">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3108" w:type="dxa"/>
            <w:gridSpan w:val="2"/>
            <w:vAlign w:val="center"/>
          </w:tcPr>
          <w:p w14:paraId="5A61284B">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从事项目负责人/施工负责</w:t>
            </w:r>
          </w:p>
          <w:p w14:paraId="26395F81">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人/设计负责人年限</w:t>
            </w:r>
          </w:p>
        </w:tc>
        <w:tc>
          <w:tcPr>
            <w:tcW w:w="1196" w:type="dxa"/>
            <w:vAlign w:val="top"/>
          </w:tcPr>
          <w:p w14:paraId="16DF7F0C">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CBE4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2963" w:type="dxa"/>
            <w:gridSpan w:val="2"/>
            <w:vAlign w:val="center"/>
          </w:tcPr>
          <w:p w14:paraId="7B0495DA">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项目负责人/施工负责人/</w:t>
            </w:r>
          </w:p>
          <w:p w14:paraId="0BA69C84">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设计负责人资格证书编号</w:t>
            </w:r>
          </w:p>
        </w:tc>
        <w:tc>
          <w:tcPr>
            <w:tcW w:w="5616" w:type="dxa"/>
            <w:gridSpan w:val="4"/>
            <w:vAlign w:val="top"/>
          </w:tcPr>
          <w:p w14:paraId="319D5441">
            <w:pPr>
              <w:pStyle w:val="43"/>
              <w:keepNext w:val="0"/>
              <w:keepLines w:val="0"/>
              <w:pageBreakBefore w:val="0"/>
              <w:widowControl w:val="0"/>
              <w:kinsoku/>
              <w:wordWrap/>
              <w:overflowPunct/>
              <w:topLinePunct w:val="0"/>
              <w:autoSpaceDE/>
              <w:autoSpaceDN/>
              <w:bidi w:val="0"/>
              <w:adjustRightInd w:val="0"/>
              <w:snapToGrid w:val="0"/>
              <w:spacing w:line="280" w:lineRule="exact"/>
              <w:ind w:left="4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9425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8579" w:type="dxa"/>
            <w:gridSpan w:val="6"/>
            <w:vAlign w:val="top"/>
          </w:tcPr>
          <w:p w14:paraId="6E7A7976">
            <w:pPr>
              <w:pStyle w:val="43"/>
              <w:keepNext w:val="0"/>
              <w:keepLines w:val="0"/>
              <w:pageBreakBefore w:val="0"/>
              <w:widowControl w:val="0"/>
              <w:kinsoku/>
              <w:wordWrap/>
              <w:overflowPunct/>
              <w:topLinePunct w:val="0"/>
              <w:autoSpaceDE/>
              <w:autoSpaceDN/>
              <w:bidi w:val="0"/>
              <w:adjustRightInd w:val="0"/>
              <w:snapToGrid w:val="0"/>
              <w:spacing w:before="128" w:line="400" w:lineRule="exact"/>
              <w:ind w:left="297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在建和已完工程项目情况</w:t>
            </w:r>
          </w:p>
        </w:tc>
      </w:tr>
      <w:tr w14:paraId="23A7C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484" w:type="dxa"/>
            <w:vAlign w:val="center"/>
          </w:tcPr>
          <w:p w14:paraId="320C41A5">
            <w:pPr>
              <w:pStyle w:val="43"/>
              <w:keepNext w:val="0"/>
              <w:keepLines w:val="0"/>
              <w:pageBreakBefore w:val="0"/>
              <w:widowControl w:val="0"/>
              <w:kinsoku/>
              <w:wordWrap/>
              <w:overflowPunct/>
              <w:topLinePunct w:val="0"/>
              <w:autoSpaceDE/>
              <w:autoSpaceDN/>
              <w:bidi w:val="0"/>
              <w:adjustRightInd w:val="0"/>
              <w:snapToGrid w:val="0"/>
              <w:spacing w:before="129" w:line="400" w:lineRule="exact"/>
              <w:ind w:left="27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建设单位</w:t>
            </w:r>
          </w:p>
        </w:tc>
        <w:tc>
          <w:tcPr>
            <w:tcW w:w="1479" w:type="dxa"/>
            <w:vAlign w:val="center"/>
          </w:tcPr>
          <w:p w14:paraId="3D2AA7CC">
            <w:pPr>
              <w:pStyle w:val="43"/>
              <w:keepNext w:val="0"/>
              <w:keepLines w:val="0"/>
              <w:pageBreakBefore w:val="0"/>
              <w:widowControl w:val="0"/>
              <w:kinsoku/>
              <w:wordWrap/>
              <w:overflowPunct/>
              <w:topLinePunct w:val="0"/>
              <w:autoSpaceDE/>
              <w:autoSpaceDN/>
              <w:bidi w:val="0"/>
              <w:adjustRightInd w:val="0"/>
              <w:snapToGrid w:val="0"/>
              <w:spacing w:before="129" w:line="400" w:lineRule="exact"/>
              <w:ind w:left="26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项目名称</w:t>
            </w:r>
          </w:p>
        </w:tc>
        <w:tc>
          <w:tcPr>
            <w:tcW w:w="1312" w:type="dxa"/>
            <w:vAlign w:val="center"/>
          </w:tcPr>
          <w:p w14:paraId="2887DCA2">
            <w:pPr>
              <w:pStyle w:val="43"/>
              <w:keepNext w:val="0"/>
              <w:keepLines w:val="0"/>
              <w:pageBreakBefore w:val="0"/>
              <w:widowControl w:val="0"/>
              <w:kinsoku/>
              <w:wordWrap/>
              <w:overflowPunct/>
              <w:topLinePunct w:val="0"/>
              <w:autoSpaceDE/>
              <w:autoSpaceDN/>
              <w:bidi w:val="0"/>
              <w:adjustRightInd w:val="0"/>
              <w:snapToGrid w:val="0"/>
              <w:spacing w:before="130" w:line="400" w:lineRule="exact"/>
              <w:ind w:left="18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建设规模</w:t>
            </w:r>
          </w:p>
        </w:tc>
        <w:tc>
          <w:tcPr>
            <w:tcW w:w="1629" w:type="dxa"/>
            <w:vAlign w:val="center"/>
          </w:tcPr>
          <w:p w14:paraId="681A1D7B">
            <w:pPr>
              <w:pStyle w:val="43"/>
              <w:keepNext w:val="0"/>
              <w:keepLines w:val="0"/>
              <w:pageBreakBefore w:val="0"/>
              <w:widowControl w:val="0"/>
              <w:kinsoku/>
              <w:wordWrap/>
              <w:overflowPunct/>
              <w:topLinePunct w:val="0"/>
              <w:autoSpaceDE/>
              <w:autoSpaceDN/>
              <w:bidi w:val="0"/>
              <w:adjustRightInd w:val="0"/>
              <w:snapToGrid w:val="0"/>
              <w:spacing w:before="130" w:line="400" w:lineRule="exact"/>
              <w:ind w:left="11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开、竣工日期</w:t>
            </w:r>
          </w:p>
        </w:tc>
        <w:tc>
          <w:tcPr>
            <w:tcW w:w="1479" w:type="dxa"/>
            <w:vAlign w:val="center"/>
          </w:tcPr>
          <w:p w14:paraId="79E8F315">
            <w:pPr>
              <w:pStyle w:val="43"/>
              <w:keepNext w:val="0"/>
              <w:keepLines w:val="0"/>
              <w:pageBreakBefore w:val="0"/>
              <w:widowControl w:val="0"/>
              <w:kinsoku/>
              <w:wordWrap/>
              <w:overflowPunct/>
              <w:topLinePunct w:val="0"/>
              <w:autoSpaceDE/>
              <w:autoSpaceDN/>
              <w:bidi w:val="0"/>
              <w:adjustRightInd w:val="0"/>
              <w:snapToGrid w:val="0"/>
              <w:spacing w:before="130" w:line="400" w:lineRule="exact"/>
              <w:ind w:left="14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在建或已完</w:t>
            </w:r>
          </w:p>
        </w:tc>
        <w:tc>
          <w:tcPr>
            <w:tcW w:w="1196" w:type="dxa"/>
            <w:vAlign w:val="center"/>
          </w:tcPr>
          <w:p w14:paraId="5C93C315">
            <w:pPr>
              <w:pStyle w:val="43"/>
              <w:keepNext w:val="0"/>
              <w:keepLines w:val="0"/>
              <w:pageBreakBefore w:val="0"/>
              <w:widowControl w:val="0"/>
              <w:kinsoku/>
              <w:wordWrap/>
              <w:overflowPunct/>
              <w:topLinePunct w:val="0"/>
              <w:autoSpaceDE/>
              <w:autoSpaceDN/>
              <w:bidi w:val="0"/>
              <w:adjustRightInd w:val="0"/>
              <w:snapToGrid w:val="0"/>
              <w:spacing w:before="129" w:line="400" w:lineRule="exact"/>
              <w:ind w:left="12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工程质量</w:t>
            </w:r>
          </w:p>
        </w:tc>
      </w:tr>
      <w:tr w14:paraId="72468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16822D7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0BF9E2C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25F3DD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67118B0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5F00F76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6572D63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5E79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7CA59E9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15B7867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6ECE3E8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7E1B013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F194F3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388B925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D968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58F65E5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4BA0211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26EB002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7AA5DBF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1753EF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12FB920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4F13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552F460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3653A92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657F552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0B84896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0237B5A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0E7629B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D378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00722CC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3876E0B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298FACA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189AF8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5B65B3C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2231AF3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EE7B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75642EB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1C7EE88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5A2C5C4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03E3F9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4F9174B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0592819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A69F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jc w:val="center"/>
        </w:trPr>
        <w:tc>
          <w:tcPr>
            <w:tcW w:w="1484" w:type="dxa"/>
            <w:vAlign w:val="top"/>
          </w:tcPr>
          <w:p w14:paraId="0F262B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5DE5EC0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12" w:type="dxa"/>
            <w:vAlign w:val="top"/>
          </w:tcPr>
          <w:p w14:paraId="622E47C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29" w:type="dxa"/>
            <w:vAlign w:val="top"/>
          </w:tcPr>
          <w:p w14:paraId="26C7A25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72782B1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96" w:type="dxa"/>
            <w:vAlign w:val="top"/>
          </w:tcPr>
          <w:p w14:paraId="53AD020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44B86F95">
      <w:pPr>
        <w:keepNext w:val="0"/>
        <w:keepLines w:val="0"/>
        <w:pageBreakBefore w:val="0"/>
        <w:widowControl w:val="0"/>
        <w:kinsoku/>
        <w:wordWrap/>
        <w:overflowPunct/>
        <w:topLinePunct w:val="0"/>
        <w:autoSpaceDE/>
        <w:autoSpaceDN/>
        <w:bidi w:val="0"/>
        <w:adjustRightInd w:val="0"/>
        <w:snapToGrid w:val="0"/>
        <w:spacing w:before="104" w:line="400" w:lineRule="exact"/>
        <w:ind w:left="121"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t>注：1.投标时项目负责人/施工负责人/设计负责人简历表须分别（分页）填写。</w:t>
      </w:r>
    </w:p>
    <w:p w14:paraId="548D87F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9" w:type="default"/>
          <w:pgSz w:w="11850" w:h="16783"/>
          <w:pgMar w:top="1134" w:right="1134" w:bottom="1134" w:left="1134" w:header="0" w:footer="992" w:gutter="0"/>
          <w:pgNumType w:fmt="decimal"/>
          <w:cols w:space="720" w:num="1"/>
        </w:sectPr>
      </w:pPr>
    </w:p>
    <w:p w14:paraId="779783D2">
      <w:pPr>
        <w:keepNext w:val="0"/>
        <w:keepLines w:val="0"/>
        <w:pageBreakBefore w:val="0"/>
        <w:widowControl w:val="0"/>
        <w:kinsoku/>
        <w:wordWrap/>
        <w:overflowPunct/>
        <w:topLinePunct w:val="0"/>
        <w:autoSpaceDE/>
        <w:autoSpaceDN/>
        <w:bidi w:val="0"/>
        <w:adjustRightInd w:val="0"/>
        <w:snapToGrid w:val="0"/>
        <w:spacing w:before="56"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t>表2</w:t>
      </w:r>
      <w:r>
        <w:rPr>
          <w:rFonts w:hint="eastAsia" w:ascii="宋体" w:hAnsi="宋体" w:eastAsia="宋体" w:cs="宋体"/>
          <w:i w:val="0"/>
          <w:iCs w:val="0"/>
          <w:color w:val="000000" w:themeColor="text1"/>
          <w:spacing w:val="0"/>
          <w:sz w:val="28"/>
          <w:szCs w:val="28"/>
          <w:highlight w:val="none"/>
          <w14:textFill>
            <w14:solidFill>
              <w14:schemeClr w14:val="tx1"/>
            </w14:solidFill>
          </w14:textFill>
        </w:rPr>
        <w:t xml:space="preserve">  </w:t>
      </w:r>
      <w:r>
        <w:rPr>
          <w:rFonts w:hint="eastAsia" w:ascii="宋体" w:hAnsi="宋体" w:cs="宋体"/>
          <w:b/>
          <w:bCs/>
          <w:i w:val="0"/>
          <w:iCs w:val="0"/>
          <w:color w:val="000000" w:themeColor="text1"/>
          <w:spacing w:val="0"/>
          <w:sz w:val="28"/>
          <w:szCs w:val="28"/>
          <w:highlight w:val="none"/>
          <w:lang w:eastAsia="zh-CN"/>
          <w14:textFill>
            <w14:solidFill>
              <w14:schemeClr w14:val="tx1"/>
            </w14:solidFill>
          </w14:textFill>
        </w:rPr>
        <w:t>项目</w:t>
      </w:r>
      <w:r>
        <w:rPr>
          <w:rFonts w:hint="eastAsia" w:ascii="宋体" w:hAnsi="宋体" w:eastAsia="宋体" w:cs="宋体"/>
          <w:b/>
          <w:bCs/>
          <w:i w:val="0"/>
          <w:iCs w:val="0"/>
          <w:color w:val="000000" w:themeColor="text1"/>
          <w:spacing w:val="0"/>
          <w:sz w:val="28"/>
          <w:szCs w:val="28"/>
          <w:highlight w:val="none"/>
          <w14:textFill>
            <w14:solidFill>
              <w14:schemeClr w14:val="tx1"/>
            </w14:solidFill>
          </w14:textFill>
        </w:rPr>
        <w:t>技术负责人简历表</w:t>
      </w:r>
    </w:p>
    <w:tbl>
      <w:tblPr>
        <w:tblStyle w:val="60"/>
        <w:tblW w:w="86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4"/>
        <w:gridCol w:w="1479"/>
        <w:gridCol w:w="1322"/>
        <w:gridCol w:w="1569"/>
        <w:gridCol w:w="1479"/>
        <w:gridCol w:w="1286"/>
      </w:tblGrid>
      <w:tr w14:paraId="7A27D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jc w:val="center"/>
        </w:trPr>
        <w:tc>
          <w:tcPr>
            <w:tcW w:w="1484" w:type="dxa"/>
            <w:vAlign w:val="center"/>
          </w:tcPr>
          <w:p w14:paraId="5DE1EA5A">
            <w:pPr>
              <w:pStyle w:val="43"/>
              <w:keepNext w:val="0"/>
              <w:keepLines w:val="0"/>
              <w:pageBreakBefore w:val="0"/>
              <w:widowControl w:val="0"/>
              <w:kinsoku/>
              <w:wordWrap/>
              <w:overflowPunct/>
              <w:topLinePunct w:val="0"/>
              <w:autoSpaceDE/>
              <w:autoSpaceDN/>
              <w:bidi w:val="0"/>
              <w:adjustRightInd w:val="0"/>
              <w:snapToGrid w:val="0"/>
              <w:spacing w:line="400" w:lineRule="exact"/>
              <w:ind w:left="50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姓名</w:t>
            </w:r>
          </w:p>
        </w:tc>
        <w:tc>
          <w:tcPr>
            <w:tcW w:w="1479" w:type="dxa"/>
            <w:vAlign w:val="center"/>
          </w:tcPr>
          <w:p w14:paraId="38680FF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center"/>
          </w:tcPr>
          <w:p w14:paraId="2B968C26">
            <w:pPr>
              <w:pStyle w:val="43"/>
              <w:keepNext w:val="0"/>
              <w:keepLines w:val="0"/>
              <w:pageBreakBefore w:val="0"/>
              <w:widowControl w:val="0"/>
              <w:kinsoku/>
              <w:wordWrap/>
              <w:overflowPunct/>
              <w:topLinePunct w:val="0"/>
              <w:autoSpaceDE/>
              <w:autoSpaceDN/>
              <w:bidi w:val="0"/>
              <w:adjustRightInd w:val="0"/>
              <w:snapToGrid w:val="0"/>
              <w:spacing w:line="400" w:lineRule="exact"/>
              <w:ind w:left="42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性别</w:t>
            </w:r>
          </w:p>
        </w:tc>
        <w:tc>
          <w:tcPr>
            <w:tcW w:w="1569" w:type="dxa"/>
            <w:vAlign w:val="center"/>
          </w:tcPr>
          <w:p w14:paraId="04E79AE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center"/>
          </w:tcPr>
          <w:p w14:paraId="7C7385EA">
            <w:pPr>
              <w:pStyle w:val="43"/>
              <w:keepNext w:val="0"/>
              <w:keepLines w:val="0"/>
              <w:pageBreakBefore w:val="0"/>
              <w:widowControl w:val="0"/>
              <w:kinsoku/>
              <w:wordWrap/>
              <w:overflowPunct/>
              <w:topLinePunct w:val="0"/>
              <w:autoSpaceDE/>
              <w:autoSpaceDN/>
              <w:bidi w:val="0"/>
              <w:adjustRightInd w:val="0"/>
              <w:snapToGrid w:val="0"/>
              <w:spacing w:line="400" w:lineRule="exact"/>
              <w:ind w:left="50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年龄</w:t>
            </w:r>
          </w:p>
        </w:tc>
        <w:tc>
          <w:tcPr>
            <w:tcW w:w="1286" w:type="dxa"/>
            <w:vAlign w:val="center"/>
          </w:tcPr>
          <w:p w14:paraId="40DEE83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B532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1484" w:type="dxa"/>
            <w:vAlign w:val="center"/>
          </w:tcPr>
          <w:p w14:paraId="2042CBAD">
            <w:pPr>
              <w:pStyle w:val="43"/>
              <w:keepNext w:val="0"/>
              <w:keepLines w:val="0"/>
              <w:pageBreakBefore w:val="0"/>
              <w:widowControl w:val="0"/>
              <w:kinsoku/>
              <w:wordWrap/>
              <w:overflowPunct/>
              <w:topLinePunct w:val="0"/>
              <w:autoSpaceDE/>
              <w:autoSpaceDN/>
              <w:bidi w:val="0"/>
              <w:adjustRightInd w:val="0"/>
              <w:snapToGrid w:val="0"/>
              <w:spacing w:line="400" w:lineRule="exact"/>
              <w:ind w:left="50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职务</w:t>
            </w:r>
          </w:p>
        </w:tc>
        <w:tc>
          <w:tcPr>
            <w:tcW w:w="1479" w:type="dxa"/>
            <w:vAlign w:val="center"/>
          </w:tcPr>
          <w:p w14:paraId="6A8431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center"/>
          </w:tcPr>
          <w:p w14:paraId="636B6027">
            <w:pPr>
              <w:pStyle w:val="43"/>
              <w:keepNext w:val="0"/>
              <w:keepLines w:val="0"/>
              <w:pageBreakBefore w:val="0"/>
              <w:widowControl w:val="0"/>
              <w:kinsoku/>
              <w:wordWrap/>
              <w:overflowPunct/>
              <w:topLinePunct w:val="0"/>
              <w:autoSpaceDE/>
              <w:autoSpaceDN/>
              <w:bidi w:val="0"/>
              <w:adjustRightInd w:val="0"/>
              <w:snapToGrid w:val="0"/>
              <w:spacing w:line="400" w:lineRule="exact"/>
              <w:ind w:left="42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职称</w:t>
            </w:r>
          </w:p>
        </w:tc>
        <w:tc>
          <w:tcPr>
            <w:tcW w:w="1569" w:type="dxa"/>
            <w:vAlign w:val="center"/>
          </w:tcPr>
          <w:p w14:paraId="0C6CC83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center"/>
          </w:tcPr>
          <w:p w14:paraId="3D4F84FC">
            <w:pPr>
              <w:pStyle w:val="43"/>
              <w:keepNext w:val="0"/>
              <w:keepLines w:val="0"/>
              <w:pageBreakBefore w:val="0"/>
              <w:widowControl w:val="0"/>
              <w:kinsoku/>
              <w:wordWrap/>
              <w:overflowPunct/>
              <w:topLinePunct w:val="0"/>
              <w:autoSpaceDE/>
              <w:autoSpaceDN/>
              <w:bidi w:val="0"/>
              <w:adjustRightInd w:val="0"/>
              <w:snapToGrid w:val="0"/>
              <w:spacing w:line="400" w:lineRule="exact"/>
              <w:ind w:left="51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学历</w:t>
            </w:r>
          </w:p>
        </w:tc>
        <w:tc>
          <w:tcPr>
            <w:tcW w:w="1286" w:type="dxa"/>
            <w:vAlign w:val="center"/>
          </w:tcPr>
          <w:p w14:paraId="54C8419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A2D6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2963" w:type="dxa"/>
            <w:gridSpan w:val="2"/>
            <w:vAlign w:val="center"/>
          </w:tcPr>
          <w:p w14:paraId="3BC85AA4">
            <w:pPr>
              <w:pStyle w:val="43"/>
              <w:keepNext w:val="0"/>
              <w:keepLines w:val="0"/>
              <w:pageBreakBefore w:val="0"/>
              <w:widowControl w:val="0"/>
              <w:kinsoku/>
              <w:wordWrap/>
              <w:overflowPunct/>
              <w:topLinePunct w:val="0"/>
              <w:autoSpaceDE/>
              <w:autoSpaceDN/>
              <w:bidi w:val="0"/>
              <w:adjustRightInd w:val="0"/>
              <w:snapToGrid w:val="0"/>
              <w:spacing w:line="400" w:lineRule="exact"/>
              <w:ind w:left="77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参加工作时间</w:t>
            </w:r>
          </w:p>
        </w:tc>
        <w:tc>
          <w:tcPr>
            <w:tcW w:w="1322" w:type="dxa"/>
            <w:vAlign w:val="center"/>
          </w:tcPr>
          <w:p w14:paraId="40C06F2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3048" w:type="dxa"/>
            <w:gridSpan w:val="2"/>
            <w:vAlign w:val="center"/>
          </w:tcPr>
          <w:p w14:paraId="2FBD7EE1">
            <w:pPr>
              <w:pStyle w:val="43"/>
              <w:keepNext w:val="0"/>
              <w:keepLines w:val="0"/>
              <w:pageBreakBefore w:val="0"/>
              <w:widowControl w:val="0"/>
              <w:kinsoku/>
              <w:wordWrap/>
              <w:overflowPunct/>
              <w:topLinePunct w:val="0"/>
              <w:autoSpaceDE/>
              <w:autoSpaceDN/>
              <w:bidi w:val="0"/>
              <w:adjustRightInd w:val="0"/>
              <w:snapToGrid w:val="0"/>
              <w:spacing w:line="400" w:lineRule="exact"/>
              <w:ind w:left="45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从事技术负责人年限</w:t>
            </w:r>
          </w:p>
        </w:tc>
        <w:tc>
          <w:tcPr>
            <w:tcW w:w="1286" w:type="dxa"/>
            <w:vAlign w:val="center"/>
          </w:tcPr>
          <w:p w14:paraId="310E6E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71F6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2963" w:type="dxa"/>
            <w:gridSpan w:val="2"/>
            <w:vAlign w:val="center"/>
          </w:tcPr>
          <w:p w14:paraId="5C34BE08">
            <w:pPr>
              <w:pStyle w:val="43"/>
              <w:keepNext w:val="0"/>
              <w:keepLines w:val="0"/>
              <w:pageBreakBefore w:val="0"/>
              <w:widowControl w:val="0"/>
              <w:kinsoku/>
              <w:wordWrap/>
              <w:overflowPunct/>
              <w:topLinePunct w:val="0"/>
              <w:autoSpaceDE/>
              <w:autoSpaceDN/>
              <w:bidi w:val="0"/>
              <w:adjustRightInd w:val="0"/>
              <w:snapToGrid w:val="0"/>
              <w:spacing w:line="400" w:lineRule="exact"/>
              <w:ind w:left="4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资格证书名称及编号</w:t>
            </w:r>
          </w:p>
        </w:tc>
        <w:tc>
          <w:tcPr>
            <w:tcW w:w="5656" w:type="dxa"/>
            <w:gridSpan w:val="4"/>
            <w:vAlign w:val="center"/>
          </w:tcPr>
          <w:p w14:paraId="5F1EAFE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F149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8619" w:type="dxa"/>
            <w:gridSpan w:val="6"/>
            <w:vAlign w:val="center"/>
          </w:tcPr>
          <w:p w14:paraId="0A06E551">
            <w:pPr>
              <w:pStyle w:val="43"/>
              <w:keepNext w:val="0"/>
              <w:keepLines w:val="0"/>
              <w:pageBreakBefore w:val="0"/>
              <w:widowControl w:val="0"/>
              <w:kinsoku/>
              <w:wordWrap/>
              <w:overflowPunct/>
              <w:topLinePunct w:val="0"/>
              <w:autoSpaceDE/>
              <w:autoSpaceDN/>
              <w:bidi w:val="0"/>
              <w:adjustRightInd w:val="0"/>
              <w:snapToGrid w:val="0"/>
              <w:spacing w:line="400" w:lineRule="exact"/>
              <w:ind w:left="299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在建和已完工程项目情况</w:t>
            </w:r>
          </w:p>
        </w:tc>
      </w:tr>
      <w:tr w14:paraId="13DE7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1484" w:type="dxa"/>
            <w:vAlign w:val="center"/>
          </w:tcPr>
          <w:p w14:paraId="786C5BCE">
            <w:pPr>
              <w:pStyle w:val="43"/>
              <w:keepNext w:val="0"/>
              <w:keepLines w:val="0"/>
              <w:pageBreakBefore w:val="0"/>
              <w:widowControl w:val="0"/>
              <w:kinsoku/>
              <w:wordWrap/>
              <w:overflowPunct/>
              <w:topLinePunct w:val="0"/>
              <w:autoSpaceDE/>
              <w:autoSpaceDN/>
              <w:bidi w:val="0"/>
              <w:adjustRightInd w:val="0"/>
              <w:snapToGrid w:val="0"/>
              <w:spacing w:line="400" w:lineRule="exact"/>
              <w:ind w:left="27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建设单位</w:t>
            </w:r>
          </w:p>
        </w:tc>
        <w:tc>
          <w:tcPr>
            <w:tcW w:w="1479" w:type="dxa"/>
            <w:vAlign w:val="center"/>
          </w:tcPr>
          <w:p w14:paraId="286C7CB5">
            <w:pPr>
              <w:pStyle w:val="43"/>
              <w:keepNext w:val="0"/>
              <w:keepLines w:val="0"/>
              <w:pageBreakBefore w:val="0"/>
              <w:widowControl w:val="0"/>
              <w:kinsoku/>
              <w:wordWrap/>
              <w:overflowPunct/>
              <w:topLinePunct w:val="0"/>
              <w:autoSpaceDE/>
              <w:autoSpaceDN/>
              <w:bidi w:val="0"/>
              <w:adjustRightInd w:val="0"/>
              <w:snapToGrid w:val="0"/>
              <w:spacing w:line="400" w:lineRule="exact"/>
              <w:ind w:left="26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项目名称</w:t>
            </w:r>
          </w:p>
        </w:tc>
        <w:tc>
          <w:tcPr>
            <w:tcW w:w="1322" w:type="dxa"/>
            <w:vAlign w:val="center"/>
          </w:tcPr>
          <w:p w14:paraId="64927E89">
            <w:pPr>
              <w:pStyle w:val="43"/>
              <w:keepNext w:val="0"/>
              <w:keepLines w:val="0"/>
              <w:pageBreakBefore w:val="0"/>
              <w:widowControl w:val="0"/>
              <w:kinsoku/>
              <w:wordWrap/>
              <w:overflowPunct/>
              <w:topLinePunct w:val="0"/>
              <w:autoSpaceDE/>
              <w:autoSpaceDN/>
              <w:bidi w:val="0"/>
              <w:adjustRightInd w:val="0"/>
              <w:snapToGrid w:val="0"/>
              <w:spacing w:line="400" w:lineRule="exact"/>
              <w:ind w:left="18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建设规模</w:t>
            </w:r>
          </w:p>
        </w:tc>
        <w:tc>
          <w:tcPr>
            <w:tcW w:w="1569" w:type="dxa"/>
            <w:vAlign w:val="center"/>
          </w:tcPr>
          <w:p w14:paraId="294CD67F">
            <w:pPr>
              <w:pStyle w:val="43"/>
              <w:keepNext w:val="0"/>
              <w:keepLines w:val="0"/>
              <w:pageBreakBefore w:val="0"/>
              <w:widowControl w:val="0"/>
              <w:kinsoku/>
              <w:wordWrap/>
              <w:overflowPunct/>
              <w:topLinePunct w:val="0"/>
              <w:autoSpaceDE/>
              <w:autoSpaceDN/>
              <w:bidi w:val="0"/>
              <w:adjustRightInd w:val="0"/>
              <w:snapToGrid w:val="0"/>
              <w:spacing w:line="400" w:lineRule="exact"/>
              <w:ind w:left="11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开、竣工日期</w:t>
            </w:r>
          </w:p>
        </w:tc>
        <w:tc>
          <w:tcPr>
            <w:tcW w:w="1479" w:type="dxa"/>
            <w:vAlign w:val="center"/>
          </w:tcPr>
          <w:p w14:paraId="182024CA">
            <w:pPr>
              <w:pStyle w:val="43"/>
              <w:keepNext w:val="0"/>
              <w:keepLines w:val="0"/>
              <w:pageBreakBefore w:val="0"/>
              <w:widowControl w:val="0"/>
              <w:kinsoku/>
              <w:wordWrap/>
              <w:overflowPunct/>
              <w:topLinePunct w:val="0"/>
              <w:autoSpaceDE/>
              <w:autoSpaceDN/>
              <w:bidi w:val="0"/>
              <w:adjustRightInd w:val="0"/>
              <w:snapToGrid w:val="0"/>
              <w:spacing w:line="400" w:lineRule="exact"/>
              <w:ind w:left="14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在建或已完</w:t>
            </w:r>
          </w:p>
        </w:tc>
        <w:tc>
          <w:tcPr>
            <w:tcW w:w="1286" w:type="dxa"/>
            <w:vAlign w:val="center"/>
          </w:tcPr>
          <w:p w14:paraId="30BADEC0">
            <w:pPr>
              <w:pStyle w:val="43"/>
              <w:keepNext w:val="0"/>
              <w:keepLines w:val="0"/>
              <w:pageBreakBefore w:val="0"/>
              <w:widowControl w:val="0"/>
              <w:kinsoku/>
              <w:wordWrap/>
              <w:overflowPunct/>
              <w:topLinePunct w:val="0"/>
              <w:autoSpaceDE/>
              <w:autoSpaceDN/>
              <w:bidi w:val="0"/>
              <w:adjustRightInd w:val="0"/>
              <w:snapToGrid w:val="0"/>
              <w:spacing w:line="400" w:lineRule="exact"/>
              <w:ind w:left="17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工程质量</w:t>
            </w:r>
          </w:p>
        </w:tc>
      </w:tr>
      <w:tr w14:paraId="53A47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665E3F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5CB87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53C3E00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2D5DB66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1F29D77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76CF73E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08EB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52D7EBC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57232D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5FC72B4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67FA5FF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DE3C8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74A0B61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CC7D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54B7C7B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3E8B337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4230C9E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27A0DCA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06EFB01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6FCD7D1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63AC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0E9C80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7A6731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5922278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4373AA6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D4D82A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05EDBE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93BD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56E394F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111B579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7BBEA7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1789EA7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0924DA7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0C2E11F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F1C8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419F982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6DC750C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104AC8F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08787F6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3C9827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541521C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EEBF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335A8B5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43ADF49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773B518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6B9645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7CE634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242DA77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8C4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1484" w:type="dxa"/>
            <w:vAlign w:val="top"/>
          </w:tcPr>
          <w:p w14:paraId="0F4043B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2C0B54A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62C2895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35907DA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6CAD0E1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72BBFC8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B5A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1484" w:type="dxa"/>
            <w:vAlign w:val="top"/>
          </w:tcPr>
          <w:p w14:paraId="68FB5BE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0F311CD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3AC1DCE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0B90648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689FF35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0F9A316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6B4F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jc w:val="center"/>
        </w:trPr>
        <w:tc>
          <w:tcPr>
            <w:tcW w:w="1484" w:type="dxa"/>
            <w:vAlign w:val="top"/>
          </w:tcPr>
          <w:p w14:paraId="51C019F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666DBF6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22" w:type="dxa"/>
            <w:vAlign w:val="top"/>
          </w:tcPr>
          <w:p w14:paraId="7742408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569" w:type="dxa"/>
            <w:vAlign w:val="top"/>
          </w:tcPr>
          <w:p w14:paraId="3629D11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479" w:type="dxa"/>
            <w:vAlign w:val="top"/>
          </w:tcPr>
          <w:p w14:paraId="6290CB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6" w:type="dxa"/>
            <w:vAlign w:val="top"/>
          </w:tcPr>
          <w:p w14:paraId="22D4F7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0BC126AA">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5FB70C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0" w:type="default"/>
          <w:pgSz w:w="11850" w:h="16783"/>
          <w:pgMar w:top="1134" w:right="1134" w:bottom="1134" w:left="1134" w:header="0" w:footer="992" w:gutter="0"/>
          <w:pgNumType w:fmt="decimal"/>
          <w:cols w:space="720" w:num="1"/>
        </w:sectPr>
      </w:pPr>
    </w:p>
    <w:p w14:paraId="020B175C">
      <w:pPr>
        <w:spacing w:before="91" w:line="220" w:lineRule="auto"/>
        <w:ind w:left="2104"/>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b/>
          <w:bCs/>
          <w:color w:val="000000" w:themeColor="text1"/>
          <w:spacing w:val="-3"/>
          <w:sz w:val="28"/>
          <w:szCs w:val="28"/>
          <w:highlight w:val="none"/>
          <w14:textFill>
            <w14:solidFill>
              <w14:schemeClr w14:val="tx1"/>
            </w14:solidFill>
          </w14:textFill>
        </w:rPr>
        <w:t>项目管理班子配备情况辅助说明资料</w:t>
      </w:r>
    </w:p>
    <w:p w14:paraId="2D259B68">
      <w:pPr>
        <w:spacing w:before="133" w:line="10436" w:lineRule="exact"/>
        <w:rPr>
          <w:color w:val="000000" w:themeColor="text1"/>
          <w:highlight w:val="none"/>
          <w14:textFill>
            <w14:solidFill>
              <w14:schemeClr w14:val="tx1"/>
            </w14:solidFill>
          </w14:textFill>
        </w:rPr>
      </w:pPr>
    </w:p>
    <w:p w14:paraId="4E672F51">
      <w:pPr>
        <w:keepNext w:val="0"/>
        <w:keepLines w:val="0"/>
        <w:pageBreakBefore w:val="0"/>
        <w:widowControl w:val="0"/>
        <w:kinsoku/>
        <w:wordWrap/>
        <w:overflowPunct/>
        <w:topLinePunct w:val="0"/>
        <w:autoSpaceDE/>
        <w:autoSpaceDN/>
        <w:bidi w:val="0"/>
        <w:adjustRightInd w:val="0"/>
        <w:snapToGrid w:val="0"/>
        <w:spacing w:before="104" w:line="360" w:lineRule="auto"/>
        <w:ind w:left="119"/>
        <w:jc w:val="both"/>
        <w:textAlignment w:val="auto"/>
        <w:outlineLvl w:val="9"/>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t>注：1.辅助说明资料主要包括管理班子机构设置、职责分工、有关复印证明资料以及投标人认为有必要提供的资料。辅助说明资料格式不做统一规定， 由投标人自行设计。</w:t>
      </w:r>
    </w:p>
    <w:p w14:paraId="4BED1074">
      <w:pPr>
        <w:keepNext w:val="0"/>
        <w:keepLines w:val="0"/>
        <w:pageBreakBefore w:val="0"/>
        <w:widowControl w:val="0"/>
        <w:kinsoku/>
        <w:wordWrap/>
        <w:overflowPunct/>
        <w:topLinePunct w:val="0"/>
        <w:autoSpaceDE/>
        <w:autoSpaceDN/>
        <w:bidi w:val="0"/>
        <w:adjustRightInd w:val="0"/>
        <w:snapToGrid w:val="0"/>
        <w:spacing w:before="104" w:line="360" w:lineRule="auto"/>
        <w:ind w:left="119"/>
        <w:jc w:val="both"/>
        <w:textAlignment w:val="auto"/>
        <w:outlineLvl w:val="9"/>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t>2.项目管理班子配备情况辅助说明资料另附。</w:t>
      </w:r>
    </w:p>
    <w:p w14:paraId="31FAC248">
      <w:pPr>
        <w:keepNext w:val="0"/>
        <w:keepLines w:val="0"/>
        <w:pageBreakBefore w:val="0"/>
        <w:widowControl w:val="0"/>
        <w:kinsoku/>
        <w:wordWrap/>
        <w:overflowPunct/>
        <w:topLinePunct w:val="0"/>
        <w:autoSpaceDE/>
        <w:autoSpaceDN/>
        <w:bidi w:val="0"/>
        <w:adjustRightInd w:val="0"/>
        <w:snapToGrid w:val="0"/>
        <w:spacing w:before="104" w:line="400" w:lineRule="exact"/>
        <w:ind w:left="121"/>
        <w:jc w:val="both"/>
        <w:textAlignment w:val="auto"/>
        <w:outlineLvl w:val="9"/>
        <w:rPr>
          <w:rFonts w:hint="eastAsia" w:ascii="宋体" w:hAnsi="宋体" w:eastAsia="宋体" w:cs="宋体"/>
          <w:i w:val="0"/>
          <w:iCs w:val="0"/>
          <w:color w:val="000000" w:themeColor="text1"/>
          <w:spacing w:val="0"/>
          <w:position w:val="2"/>
          <w:sz w:val="21"/>
          <w:szCs w:val="21"/>
          <w:highlight w:val="none"/>
          <w14:textFill>
            <w14:solidFill>
              <w14:schemeClr w14:val="tx1"/>
            </w14:solidFill>
          </w14:textFill>
        </w:rPr>
        <w:sectPr>
          <w:footerReference r:id="rId11" w:type="default"/>
          <w:pgSz w:w="11906" w:h="16838"/>
          <w:pgMar w:top="1134" w:right="1667" w:bottom="1134" w:left="1134" w:header="0" w:footer="992" w:gutter="0"/>
          <w:pgNumType w:fmt="decimal"/>
          <w:cols w:space="720" w:num="1"/>
        </w:sectPr>
      </w:pPr>
    </w:p>
    <w:p w14:paraId="176B914C">
      <w:pPr>
        <w:keepNext w:val="0"/>
        <w:keepLines w:val="0"/>
        <w:pageBreakBefore w:val="0"/>
        <w:widowControl w:val="0"/>
        <w:kinsoku/>
        <w:wordWrap/>
        <w:overflowPunct/>
        <w:topLinePunct w:val="0"/>
        <w:autoSpaceDE/>
        <w:autoSpaceDN/>
        <w:bidi w:val="0"/>
        <w:adjustRightInd w:val="0"/>
        <w:snapToGrid w:val="0"/>
        <w:spacing w:before="114" w:line="400" w:lineRule="exact"/>
        <w:ind w:left="3261"/>
        <w:jc w:val="both"/>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投标保证金</w:t>
      </w:r>
    </w:p>
    <w:p w14:paraId="3821C392">
      <w:pPr>
        <w:keepNext w:val="0"/>
        <w:keepLines w:val="0"/>
        <w:pageBreakBefore w:val="0"/>
        <w:widowControl w:val="0"/>
        <w:kinsoku/>
        <w:wordWrap/>
        <w:overflowPunct/>
        <w:topLinePunct w:val="0"/>
        <w:autoSpaceDE/>
        <w:autoSpaceDN/>
        <w:bidi w:val="0"/>
        <w:adjustRightInd w:val="0"/>
        <w:snapToGrid w:val="0"/>
        <w:spacing w:before="114" w:line="400" w:lineRule="exact"/>
        <w:jc w:val="both"/>
        <w:textAlignment w:val="auto"/>
        <w:outlineLvl w:val="9"/>
        <w:rPr>
          <w:rFonts w:hint="eastAsia" w:ascii="宋体" w:hAnsi="宋体" w:eastAsia="宋体" w:cs="宋体"/>
          <w:i w:val="0"/>
          <w:iCs w:val="0"/>
          <w:color w:val="000000" w:themeColor="text1"/>
          <w:spacing w:val="0"/>
          <w:position w:val="19"/>
          <w:sz w:val="21"/>
          <w:szCs w:val="21"/>
          <w:highlight w:val="none"/>
          <w14:textFill>
            <w14:solidFill>
              <w14:schemeClr w14:val="tx1"/>
            </w14:solidFill>
          </w14:textFill>
        </w:rPr>
      </w:pPr>
    </w:p>
    <w:p w14:paraId="65D12820">
      <w:pPr>
        <w:keepNext w:val="0"/>
        <w:keepLines w:val="0"/>
        <w:pageBreakBefore w:val="0"/>
        <w:widowControl w:val="0"/>
        <w:kinsoku/>
        <w:wordWrap/>
        <w:overflowPunct/>
        <w:topLinePunct w:val="0"/>
        <w:autoSpaceDE/>
        <w:autoSpaceDN/>
        <w:bidi w:val="0"/>
        <w:adjustRightInd w:val="0"/>
        <w:snapToGrid w:val="0"/>
        <w:spacing w:before="114" w:line="400" w:lineRule="exact"/>
        <w:jc w:val="both"/>
        <w:textAlignment w:val="auto"/>
        <w:outlineLvl w:val="9"/>
        <w:rPr>
          <w:rFonts w:hint="eastAsia" w:ascii="宋体" w:hAnsi="宋体" w:eastAsia="宋体" w:cs="宋体"/>
          <w:i w:val="0"/>
          <w:iCs w:val="0"/>
          <w:color w:val="000000" w:themeColor="text1"/>
          <w:spacing w:val="0"/>
          <w:position w:val="19"/>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19"/>
          <w:sz w:val="21"/>
          <w:szCs w:val="21"/>
          <w:highlight w:val="none"/>
          <w14:textFill>
            <w14:solidFill>
              <w14:schemeClr w14:val="tx1"/>
            </w14:solidFill>
          </w14:textFill>
        </w:rPr>
        <w:t>1.提供购买保险或办理保函、担保等保证金相关费用，从投标人基本账户转出凭证。</w:t>
      </w:r>
    </w:p>
    <w:p w14:paraId="16A2F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2" w:type="default"/>
          <w:pgSz w:w="11850" w:h="16783"/>
          <w:pgMar w:top="1134" w:right="1134" w:bottom="1134" w:left="1134" w:header="0" w:footer="992" w:gutter="0"/>
          <w:pgNumType w:fmt="decimal"/>
          <w:cols w:space="720" w:num="1"/>
        </w:sectPr>
      </w:pPr>
    </w:p>
    <w:p w14:paraId="43A5B283">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1EE96B20">
      <w:pPr>
        <w:keepNext w:val="0"/>
        <w:keepLines w:val="0"/>
        <w:pageBreakBefore w:val="0"/>
        <w:widowControl w:val="0"/>
        <w:kinsoku/>
        <w:wordWrap/>
        <w:overflowPunct/>
        <w:topLinePunct w:val="0"/>
        <w:autoSpaceDE/>
        <w:autoSpaceDN/>
        <w:bidi w:val="0"/>
        <w:adjustRightInd w:val="0"/>
        <w:snapToGrid w:val="0"/>
        <w:spacing w:before="71"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联合体协议</w:t>
      </w:r>
    </w:p>
    <w:p w14:paraId="3901D97F">
      <w:pPr>
        <w:keepNext w:val="0"/>
        <w:keepLines w:val="0"/>
        <w:pageBreakBefore w:val="0"/>
        <w:widowControl w:val="0"/>
        <w:kinsoku/>
        <w:wordWrap/>
        <w:overflowPunct/>
        <w:topLinePunct w:val="0"/>
        <w:autoSpaceDE/>
        <w:autoSpaceDN/>
        <w:bidi w:val="0"/>
        <w:adjustRightInd w:val="0"/>
        <w:snapToGrid w:val="0"/>
        <w:spacing w:before="71"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（格式供参考）</w:t>
      </w:r>
    </w:p>
    <w:p w14:paraId="72CB26A3">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p>
    <w:p w14:paraId="70A6C0D1">
      <w:pPr>
        <w:keepNext w:val="0"/>
        <w:keepLines w:val="0"/>
        <w:pageBreakBefore w:val="0"/>
        <w:widowControl w:val="0"/>
        <w:kinsoku/>
        <w:wordWrap/>
        <w:overflowPunct/>
        <w:topLinePunct w:val="0"/>
        <w:autoSpaceDE/>
        <w:autoSpaceDN/>
        <w:bidi w:val="0"/>
        <w:adjustRightInd w:val="0"/>
        <w:snapToGrid w:val="0"/>
        <w:spacing w:line="440" w:lineRule="exact"/>
        <w:ind w:left="12"/>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（所有成员单位名称） 自愿组成（联合体名称）联合体，共同参加（项目名称）</w:t>
      </w:r>
    </w:p>
    <w:p w14:paraId="6306380E">
      <w:pPr>
        <w:keepNext w:val="0"/>
        <w:keepLines w:val="0"/>
        <w:pageBreakBefore w:val="0"/>
        <w:widowControl w:val="0"/>
        <w:kinsoku/>
        <w:wordWrap/>
        <w:overflowPunct/>
        <w:topLinePunct w:val="0"/>
        <w:autoSpaceDE/>
        <w:autoSpaceDN/>
        <w:bidi w:val="0"/>
        <w:adjustRightInd w:val="0"/>
        <w:snapToGrid w:val="0"/>
        <w:spacing w:line="440" w:lineRule="exact"/>
        <w:ind w:left="3"/>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投标。现就联合体投标事宜订立如下协议。</w:t>
      </w:r>
    </w:p>
    <w:p w14:paraId="749C90EE">
      <w:pPr>
        <w:keepNext w:val="0"/>
        <w:keepLines w:val="0"/>
        <w:pageBreakBefore w:val="0"/>
        <w:widowControl w:val="0"/>
        <w:kinsoku/>
        <w:wordWrap/>
        <w:overflowPunct/>
        <w:topLinePunct w:val="0"/>
        <w:autoSpaceDE/>
        <w:autoSpaceDN/>
        <w:bidi w:val="0"/>
        <w:adjustRightInd w:val="0"/>
        <w:snapToGrid w:val="0"/>
        <w:spacing w:line="440" w:lineRule="exact"/>
        <w:ind w:left="18"/>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1、（某成员单位名称）为（联合体名称）牵头人。</w:t>
      </w:r>
    </w:p>
    <w:p w14:paraId="0B1C249D">
      <w:pPr>
        <w:keepNext w:val="0"/>
        <w:keepLines w:val="0"/>
        <w:pageBreakBefore w:val="0"/>
        <w:widowControl w:val="0"/>
        <w:kinsoku/>
        <w:wordWrap/>
        <w:overflowPunct/>
        <w:topLinePunct w:val="0"/>
        <w:autoSpaceDE/>
        <w:autoSpaceDN/>
        <w:bidi w:val="0"/>
        <w:adjustRightInd w:val="0"/>
        <w:snapToGrid w:val="0"/>
        <w:spacing w:line="440" w:lineRule="exact"/>
        <w:ind w:left="3"/>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2、联合体牵头人合法代表联合体各成员负责本招标项目投标文件编制和合同谈判 活动，并代表联合体提交和接收相关的资料、信息及指示，并处理与之有关的一</w:t>
      </w:r>
    </w:p>
    <w:p w14:paraId="7C956942">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切事务，负责合同实施阶段的主办、组织和协调工作。</w:t>
      </w:r>
    </w:p>
    <w:p w14:paraId="58EF1351">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pPr>
      <w:r>
        <w:rPr>
          <w:rFonts w:hint="eastAsia" w:ascii="宋体" w:hAnsi="宋体" w:eastAsia="宋体" w:cs="宋体"/>
          <w:i w:val="0"/>
          <w:iCs w:val="0"/>
          <w:snapToGrid w:val="0"/>
          <w:color w:val="000000" w:themeColor="text1"/>
          <w:spacing w:val="0"/>
          <w:kern w:val="0"/>
          <w:sz w:val="21"/>
          <w:szCs w:val="21"/>
          <w:highlight w:val="none"/>
          <w:lang w:val="en-US" w:eastAsia="en-US" w:bidi="ar-SA"/>
          <w14:textFill>
            <w14:solidFill>
              <w14:schemeClr w14:val="tx1"/>
            </w14:solidFill>
          </w14:textFill>
        </w:rPr>
        <w:t>3、联合体将按照招标文件的各项要求，递交投标文件，履行合同，并对外承担连带责任。</w:t>
      </w:r>
    </w:p>
    <w:p w14:paraId="7CBF0494">
      <w:pPr>
        <w:keepNext w:val="0"/>
        <w:keepLines w:val="0"/>
        <w:pageBreakBefore w:val="0"/>
        <w:widowControl w:val="0"/>
        <w:numPr>
          <w:ilvl w:val="0"/>
          <w:numId w:val="23"/>
        </w:numPr>
        <w:kinsoku/>
        <w:wordWrap/>
        <w:overflowPunct/>
        <w:topLinePunct w:val="0"/>
        <w:autoSpaceDE/>
        <w:autoSpaceDN/>
        <w:bidi w:val="0"/>
        <w:adjustRightInd w:val="0"/>
        <w:snapToGrid w:val="0"/>
        <w:spacing w:line="440" w:lineRule="exact"/>
        <w:ind w:left="5" w:right="207" w:hanging="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联合体各成员单位内部的职责分工如下</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0234C6F5">
      <w:pPr>
        <w:keepNext w:val="0"/>
        <w:keepLines w:val="0"/>
        <w:pageBreakBefore w:val="0"/>
        <w:widowControl w:val="0"/>
        <w:numPr>
          <w:ilvl w:val="0"/>
          <w:numId w:val="23"/>
        </w:numPr>
        <w:kinsoku/>
        <w:wordWrap/>
        <w:overflowPunct/>
        <w:topLinePunct w:val="0"/>
        <w:autoSpaceDE/>
        <w:autoSpaceDN/>
        <w:bidi w:val="0"/>
        <w:adjustRightInd w:val="0"/>
        <w:snapToGrid w:val="0"/>
        <w:spacing w:line="440" w:lineRule="exact"/>
        <w:ind w:left="5" w:right="207" w:hanging="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联合体各成员单位关于收取招标人支付项目各项费用的约定如下：</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1AF41060">
      <w:pPr>
        <w:keepNext w:val="0"/>
        <w:keepLines w:val="0"/>
        <w:pageBreakBefore w:val="0"/>
        <w:widowControl w:val="0"/>
        <w:kinsoku/>
        <w:wordWrap/>
        <w:overflowPunct/>
        <w:topLinePunct w:val="0"/>
        <w:autoSpaceDE/>
        <w:autoSpaceDN/>
        <w:bidi w:val="0"/>
        <w:adjustRightInd w:val="0"/>
        <w:snapToGrid w:val="0"/>
        <w:spacing w:line="440" w:lineRule="exact"/>
        <w:ind w:left="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6、本协议书自签署之日起生效。</w:t>
      </w:r>
    </w:p>
    <w:p w14:paraId="305C0990">
      <w:pPr>
        <w:keepNext w:val="0"/>
        <w:keepLines w:val="0"/>
        <w:pageBreakBefore w:val="0"/>
        <w:widowControl w:val="0"/>
        <w:kinsoku/>
        <w:wordWrap/>
        <w:overflowPunct/>
        <w:topLinePunct w:val="0"/>
        <w:autoSpaceDE/>
        <w:autoSpaceDN/>
        <w:bidi w:val="0"/>
        <w:adjustRightInd w:val="0"/>
        <w:snapToGrid w:val="0"/>
        <w:spacing w:line="440" w:lineRule="exact"/>
        <w:ind w:left="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7、本协议书一式</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份，联合体成员和招标人各执一份。</w:t>
      </w:r>
    </w:p>
    <w:p w14:paraId="60A1DB85">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注：本协议书由委托代理人签字的，应附法定代表人签字或盖章的授权委托书。</w:t>
      </w:r>
    </w:p>
    <w:p w14:paraId="07CB2B6F">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7A4ED26">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10B868B">
      <w:pPr>
        <w:keepNext w:val="0"/>
        <w:keepLines w:val="0"/>
        <w:pageBreakBefore w:val="0"/>
        <w:widowControl w:val="0"/>
        <w:kinsoku/>
        <w:wordWrap/>
        <w:overflowPunct/>
        <w:topLinePunct w:val="0"/>
        <w:autoSpaceDE/>
        <w:autoSpaceDN/>
        <w:bidi w:val="0"/>
        <w:adjustRightInd w:val="0"/>
        <w:snapToGrid w:val="0"/>
        <w:spacing w:line="440" w:lineRule="exact"/>
        <w:ind w:left="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牵头人名称：</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（单位盖章）</w:t>
      </w:r>
    </w:p>
    <w:p w14:paraId="122CA5AF">
      <w:pPr>
        <w:keepNext w:val="0"/>
        <w:keepLines w:val="0"/>
        <w:pageBreakBefore w:val="0"/>
        <w:widowControl w:val="0"/>
        <w:kinsoku/>
        <w:wordWrap/>
        <w:overflowPunct/>
        <w:topLinePunct w:val="0"/>
        <w:autoSpaceDE/>
        <w:autoSpaceDN/>
        <w:bidi w:val="0"/>
        <w:adjustRightInd w:val="0"/>
        <w:snapToGrid w:val="0"/>
        <w:spacing w:line="440" w:lineRule="exact"/>
        <w:ind w:left="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法定代表人或其委托代理人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（签字或盖章）：</w:t>
      </w:r>
    </w:p>
    <w:p w14:paraId="6FC31934">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4280120">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0CBEF57">
      <w:pPr>
        <w:keepNext w:val="0"/>
        <w:keepLines w:val="0"/>
        <w:pageBreakBefore w:val="0"/>
        <w:widowControl w:val="0"/>
        <w:kinsoku/>
        <w:wordWrap/>
        <w:overflowPunct/>
        <w:topLinePunct w:val="0"/>
        <w:autoSpaceDE/>
        <w:autoSpaceDN/>
        <w:bidi w:val="0"/>
        <w:adjustRightInd w:val="0"/>
        <w:snapToGrid w:val="0"/>
        <w:spacing w:line="440" w:lineRule="exact"/>
        <w:ind w:left="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成员名称：</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（单位盖章）</w:t>
      </w:r>
    </w:p>
    <w:p w14:paraId="3379F097">
      <w:pPr>
        <w:keepNext w:val="0"/>
        <w:keepLines w:val="0"/>
        <w:pageBreakBefore w:val="0"/>
        <w:widowControl w:val="0"/>
        <w:kinsoku/>
        <w:wordWrap/>
        <w:overflowPunct/>
        <w:topLinePunct w:val="0"/>
        <w:autoSpaceDE/>
        <w:autoSpaceDN/>
        <w:bidi w:val="0"/>
        <w:adjustRightInd w:val="0"/>
        <w:snapToGrid w:val="0"/>
        <w:spacing w:line="440" w:lineRule="exact"/>
        <w:ind w:left="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法定代表人或其委托代理人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（签字或盖章）：</w:t>
      </w:r>
    </w:p>
    <w:p w14:paraId="54A43261">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8F79ECB">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D2243E4">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25FF182">
      <w:pPr>
        <w:pStyle w:val="10"/>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E54FF15">
      <w:pPr>
        <w:keepNext w:val="0"/>
        <w:keepLines w:val="0"/>
        <w:pageBreakBefore w:val="0"/>
        <w:widowControl w:val="0"/>
        <w:kinsoku/>
        <w:wordWrap/>
        <w:overflowPunct/>
        <w:topLinePunct w:val="0"/>
        <w:autoSpaceDE/>
        <w:autoSpaceDN/>
        <w:bidi w:val="0"/>
        <w:adjustRightInd w:val="0"/>
        <w:snapToGrid w:val="0"/>
        <w:spacing w:line="440" w:lineRule="exact"/>
        <w:ind w:left="3145"/>
        <w:jc w:val="righ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      月      日</w:t>
      </w:r>
    </w:p>
    <w:p w14:paraId="2B30EC55">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br w:type="page"/>
      </w:r>
    </w:p>
    <w:p w14:paraId="7C6C99EF">
      <w:pPr>
        <w:pStyle w:val="10"/>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b/>
          <w:bCs/>
          <w:i w:val="0"/>
          <w:iCs w:val="0"/>
          <w:snapToGrid w:val="0"/>
          <w:color w:val="000000" w:themeColor="text1"/>
          <w:spacing w:val="0"/>
          <w:kern w:val="0"/>
          <w:sz w:val="36"/>
          <w:szCs w:val="36"/>
          <w:highlight w:val="none"/>
          <w:lang w:val="en-US" w:eastAsia="en-US" w:bidi="ar-SA"/>
          <w14:textFill>
            <w14:solidFill>
              <w14:schemeClr w14:val="tx1"/>
            </w14:solidFill>
          </w14:textFill>
        </w:rPr>
        <w:sectPr>
          <w:footerReference r:id="rId13" w:type="default"/>
          <w:pgSz w:w="11850" w:h="16783"/>
          <w:pgMar w:top="1134" w:right="1134" w:bottom="1134" w:left="1134" w:header="0" w:footer="992" w:gutter="0"/>
          <w:pgNumType w:fmt="decimal"/>
          <w:cols w:space="720" w:num="1"/>
        </w:sectPr>
      </w:pPr>
      <w:r>
        <w:rPr>
          <w:rFonts w:hint="eastAsia" w:ascii="宋体" w:hAnsi="宋体" w:eastAsia="宋体" w:cs="宋体"/>
          <w:b/>
          <w:bCs/>
          <w:i w:val="0"/>
          <w:iCs w:val="0"/>
          <w:snapToGrid w:val="0"/>
          <w:color w:val="000000" w:themeColor="text1"/>
          <w:spacing w:val="0"/>
          <w:kern w:val="0"/>
          <w:sz w:val="36"/>
          <w:szCs w:val="36"/>
          <w:highlight w:val="none"/>
          <w:lang w:val="en-US" w:eastAsia="zh-CN" w:bidi="ar-SA"/>
          <w14:textFill>
            <w14:solidFill>
              <w14:schemeClr w14:val="tx1"/>
            </w14:solidFill>
          </w14:textFill>
        </w:rPr>
        <w:t>省外企业进浙承接业务备案证明</w:t>
      </w:r>
    </w:p>
    <w:p w14:paraId="795FEF5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b/>
          <w:bCs/>
          <w:i w:val="0"/>
          <w:iCs w:val="0"/>
          <w:snapToGrid w:val="0"/>
          <w:color w:val="000000" w:themeColor="text1"/>
          <w:spacing w:val="0"/>
          <w:kern w:val="0"/>
          <w:sz w:val="36"/>
          <w:szCs w:val="36"/>
          <w:highlight w:val="none"/>
          <w:lang w:val="en-US" w:eastAsia="zh-CN" w:bidi="ar-SA"/>
          <w14:textFill>
            <w14:solidFill>
              <w14:schemeClr w14:val="tx1"/>
            </w14:solidFill>
          </w14:textFill>
        </w:rPr>
      </w:pPr>
      <w:r>
        <w:rPr>
          <w:rFonts w:hint="eastAsia" w:ascii="宋体" w:hAnsi="宋体" w:eastAsia="宋体" w:cs="宋体"/>
          <w:b/>
          <w:bCs/>
          <w:i w:val="0"/>
          <w:iCs w:val="0"/>
          <w:snapToGrid w:val="0"/>
          <w:color w:val="000000" w:themeColor="text1"/>
          <w:spacing w:val="0"/>
          <w:kern w:val="0"/>
          <w:sz w:val="36"/>
          <w:szCs w:val="36"/>
          <w:highlight w:val="none"/>
          <w:lang w:val="en-US" w:eastAsia="zh-CN" w:bidi="ar-SA"/>
          <w14:textFill>
            <w14:solidFill>
              <w14:schemeClr w14:val="tx1"/>
            </w14:solidFill>
          </w14:textFill>
        </w:rPr>
        <w:t>提供投标人自招标公告发布之日至投标截止日之间任意一次在“浙江省建筑市场监管公共服务系统”上，参与投标资质的“资质动态核查结果证明”</w:t>
      </w:r>
    </w:p>
    <w:p w14:paraId="0C01318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F84449">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8F54F7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98041A9">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DD2E03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5A1B78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82A32E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53B4FD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585EC78">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C47192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9566B8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8A54FA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7E219C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AFA893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BC85CF3">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DCB7F19">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CEC3BD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47DB8D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33FF7C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936686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5D4127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3D8D40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B9CAECB">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135DB6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B86FB3F">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713701">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D7EF9EE">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CD6199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FBDE99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482202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C47D15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A053284">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C9619D2">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AE36847">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FEADCF0">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37D58D6">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7F8B0ED">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B567A9C">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2A5C8FA">
      <w:pPr>
        <w:rPr>
          <w:rFonts w:hint="default" w:ascii="宋体" w:hAnsi="宋体" w:eastAsia="宋体" w:cs="宋体"/>
          <w:b/>
          <w:bCs/>
          <w:i w:val="0"/>
          <w:iCs w:val="0"/>
          <w:snapToGrid w:val="0"/>
          <w:color w:val="000000" w:themeColor="text1"/>
          <w:spacing w:val="0"/>
          <w:kern w:val="0"/>
          <w:sz w:val="36"/>
          <w:szCs w:val="36"/>
          <w:highlight w:val="none"/>
          <w:lang w:val="en-US" w:eastAsia="en-US" w:bidi="ar-SA"/>
          <w14:textFill>
            <w14:solidFill>
              <w14:schemeClr w14:val="tx1"/>
            </w14:solidFill>
          </w14:textFill>
        </w:rPr>
        <w:sectPr>
          <w:footerReference r:id="rId14" w:type="default"/>
          <w:pgSz w:w="11850" w:h="16783"/>
          <w:pgMar w:top="1134" w:right="1134" w:bottom="1134" w:left="1134" w:header="0" w:footer="992" w:gutter="0"/>
          <w:pgNumType w:fmt="decimal"/>
          <w:cols w:space="720" w:num="1"/>
        </w:sectPr>
      </w:pPr>
      <w:r>
        <w:rPr>
          <w:rFonts w:hint="eastAsia" w:ascii="宋体" w:hAnsi="宋体" w:eastAsia="宋体" w:cs="宋体"/>
          <w:b/>
          <w:bCs/>
          <w:i w:val="0"/>
          <w:iCs w:val="0"/>
          <w:snapToGrid w:val="0"/>
          <w:color w:val="000000" w:themeColor="text1"/>
          <w:spacing w:val="0"/>
          <w:kern w:val="0"/>
          <w:sz w:val="36"/>
          <w:szCs w:val="36"/>
          <w:highlight w:val="none"/>
          <w:lang w:val="en-US" w:eastAsia="zh-CN" w:bidi="ar-SA"/>
          <w14:textFill>
            <w14:solidFill>
              <w14:schemeClr w14:val="tx1"/>
            </w14:solidFill>
          </w14:textFill>
        </w:rPr>
        <w:t>招标文件要求投标人提交的其他资料(详见投标须知前附表)</w:t>
      </w:r>
    </w:p>
    <w:p w14:paraId="69E4F5FB">
      <w:pPr>
        <w:pStyle w:val="11"/>
        <w:rPr>
          <w:rFonts w:hint="eastAsia"/>
          <w:color w:val="000000" w:themeColor="text1"/>
          <w:highlight w:val="none"/>
          <w14:textFill>
            <w14:solidFill>
              <w14:schemeClr w14:val="tx1"/>
            </w14:solidFill>
          </w14:textFill>
        </w:rPr>
      </w:pPr>
    </w:p>
    <w:p w14:paraId="1F3AB40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C3A83C2">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宋体" w:eastAsia="黑体"/>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olor w:val="000000" w:themeColor="text1"/>
          <w:sz w:val="32"/>
          <w:szCs w:val="32"/>
          <w:highlight w:val="none"/>
          <w:u w:val="single"/>
          <w:lang w:val="en-US" w:eastAsia="zh-CN"/>
          <w14:textFill>
            <w14:solidFill>
              <w14:schemeClr w14:val="tx1"/>
            </w14:solidFill>
          </w14:textFill>
        </w:rPr>
        <w:t>开化县城市有机更新共同富裕建设项目安置地（一）基础及室外附属设施配套工程—高压配电工程总承包（EPC）</w:t>
      </w:r>
    </w:p>
    <w:p w14:paraId="542DB201">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宋体" w:eastAsia="黑体"/>
          <w:color w:val="000000" w:themeColor="text1"/>
          <w:sz w:val="32"/>
          <w:szCs w:val="32"/>
          <w:highlight w:val="none"/>
          <w:u w:val="single"/>
          <w:lang w:eastAsia="zh-CN"/>
          <w14:textFill>
            <w14:solidFill>
              <w14:schemeClr w14:val="tx1"/>
            </w14:solidFill>
          </w14:textFill>
        </w:rPr>
      </w:pPr>
      <w:r>
        <w:rPr>
          <w:rFonts w:hint="eastAsia" w:ascii="黑体" w:hAnsi="宋体" w:eastAsia="黑体"/>
          <w:color w:val="000000" w:themeColor="text1"/>
          <w:sz w:val="32"/>
          <w:szCs w:val="32"/>
          <w:highlight w:val="none"/>
          <w:u w:val="single"/>
          <w:lang w:eastAsia="zh-CN"/>
          <w14:textFill>
            <w14:solidFill>
              <w14:schemeClr w14:val="tx1"/>
            </w14:solidFill>
          </w14:textFill>
        </w:rPr>
        <w:t>投标文件</w:t>
      </w:r>
    </w:p>
    <w:p w14:paraId="0CE2B4FE">
      <w:pPr>
        <w:keepNext w:val="0"/>
        <w:keepLines w:val="0"/>
        <w:pageBreakBefore w:val="0"/>
        <w:widowControl w:val="0"/>
        <w:kinsoku/>
        <w:wordWrap/>
        <w:overflowPunct/>
        <w:topLinePunct w:val="0"/>
        <w:autoSpaceDE/>
        <w:autoSpaceDN/>
        <w:bidi w:val="0"/>
        <w:adjustRightInd w:val="0"/>
        <w:snapToGrid w:val="0"/>
        <w:spacing w:before="144" w:line="400" w:lineRule="exact"/>
        <w:jc w:val="center"/>
        <w:textAlignment w:val="auto"/>
        <w:outlineLvl w:val="9"/>
        <w:rPr>
          <w:rFonts w:hint="eastAsia" w:ascii="宋体" w:hAnsi="宋体" w:eastAsia="宋体" w:cs="宋体"/>
          <w:i w:val="0"/>
          <w:iCs w:val="0"/>
          <w:color w:val="000000" w:themeColor="text1"/>
          <w:spacing w:val="0"/>
          <w:sz w:val="32"/>
          <w:szCs w:val="32"/>
          <w:highlight w:val="none"/>
          <w14:textFill>
            <w14:solidFill>
              <w14:schemeClr w14:val="tx1"/>
            </w14:solidFill>
          </w14:textFill>
        </w:rPr>
      </w:pPr>
      <w:r>
        <w:rPr>
          <w:rFonts w:hint="eastAsia" w:ascii="宋体" w:hAnsi="宋体" w:eastAsia="宋体" w:cs="宋体"/>
          <w:i w:val="0"/>
          <w:iCs w:val="0"/>
          <w:color w:val="000000" w:themeColor="text1"/>
          <w:spacing w:val="0"/>
          <w:sz w:val="32"/>
          <w:szCs w:val="32"/>
          <w:highlight w:val="none"/>
          <w14:textFill>
            <w14:solidFill>
              <w14:schemeClr w14:val="tx1"/>
            </w14:solidFill>
          </w14:textFill>
        </w:rPr>
        <w:t>（封面）</w:t>
      </w:r>
    </w:p>
    <w:p w14:paraId="5A0E36B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2"/>
          <w:szCs w:val="32"/>
          <w:highlight w:val="none"/>
          <w14:textFill>
            <w14:solidFill>
              <w14:schemeClr w14:val="tx1"/>
            </w14:solidFill>
          </w14:textFill>
        </w:rPr>
      </w:pPr>
    </w:p>
    <w:p w14:paraId="11CF4595">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7144D06">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0A329E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AC6FC1D">
      <w:pPr>
        <w:keepNext w:val="0"/>
        <w:keepLines w:val="0"/>
        <w:pageBreakBefore w:val="0"/>
        <w:widowControl w:val="0"/>
        <w:kinsoku/>
        <w:wordWrap/>
        <w:overflowPunct/>
        <w:topLinePunct w:val="0"/>
        <w:autoSpaceDE/>
        <w:autoSpaceDN/>
        <w:bidi w:val="0"/>
        <w:adjustRightInd w:val="0"/>
        <w:snapToGrid w:val="0"/>
        <w:spacing w:before="101" w:line="400" w:lineRule="exact"/>
        <w:ind w:left="568"/>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项目名称：</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27E880C2">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2B3BD3DA">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1682D1FA">
      <w:pPr>
        <w:keepNext w:val="0"/>
        <w:keepLines w:val="0"/>
        <w:pageBreakBefore w:val="0"/>
        <w:widowControl w:val="0"/>
        <w:kinsoku/>
        <w:wordWrap/>
        <w:overflowPunct/>
        <w:topLinePunct w:val="0"/>
        <w:autoSpaceDE/>
        <w:autoSpaceDN/>
        <w:bidi w:val="0"/>
        <w:adjustRightInd w:val="0"/>
        <w:snapToGrid w:val="0"/>
        <w:spacing w:before="101" w:line="400" w:lineRule="exact"/>
        <w:ind w:left="566"/>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投标文件内容：</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投标文件技术标格式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600FCAA7">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2C568AF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49834BBC">
      <w:pPr>
        <w:keepNext w:val="0"/>
        <w:keepLines w:val="0"/>
        <w:pageBreakBefore w:val="0"/>
        <w:widowControl w:val="0"/>
        <w:kinsoku/>
        <w:wordWrap/>
        <w:overflowPunct/>
        <w:topLinePunct w:val="0"/>
        <w:autoSpaceDE/>
        <w:autoSpaceDN/>
        <w:bidi w:val="0"/>
        <w:adjustRightInd w:val="0"/>
        <w:snapToGrid w:val="0"/>
        <w:spacing w:before="102" w:line="400" w:lineRule="exact"/>
        <w:ind w:left="566"/>
        <w:jc w:val="both"/>
        <w:textAlignment w:val="auto"/>
        <w:outlineLvl w:val="9"/>
        <w:rPr>
          <w:rFonts w:hint="default" w:ascii="宋体" w:hAnsi="宋体" w:eastAsia="宋体" w:cs="宋体"/>
          <w:i w:val="0"/>
          <w:iCs w:val="0"/>
          <w:color w:val="000000" w:themeColor="text1"/>
          <w:spacing w:val="0"/>
          <w:sz w:val="30"/>
          <w:szCs w:val="30"/>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（单位盖章）</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p>
    <w:p w14:paraId="2064F27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77FCFCB5">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0A27D82A">
      <w:pPr>
        <w:keepNext w:val="0"/>
        <w:keepLines w:val="0"/>
        <w:pageBreakBefore w:val="0"/>
        <w:widowControl w:val="0"/>
        <w:kinsoku/>
        <w:wordWrap/>
        <w:overflowPunct/>
        <w:topLinePunct w:val="0"/>
        <w:autoSpaceDE/>
        <w:autoSpaceDN/>
        <w:bidi w:val="0"/>
        <w:adjustRightInd w:val="0"/>
        <w:snapToGrid w:val="0"/>
        <w:spacing w:before="101" w:line="400" w:lineRule="exact"/>
        <w:ind w:left="564"/>
        <w:jc w:val="both"/>
        <w:textAlignment w:val="auto"/>
        <w:outlineLvl w:val="9"/>
        <w:rPr>
          <w:rFonts w:hint="default" w:ascii="宋体" w:hAnsi="宋体" w:eastAsia="宋体" w:cs="宋体"/>
          <w:i w:val="0"/>
          <w:iCs w:val="0"/>
          <w:color w:val="000000" w:themeColor="text1"/>
          <w:spacing w:val="0"/>
          <w:sz w:val="30"/>
          <w:szCs w:val="30"/>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法定代表人或委托代理人：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（签字或盖章）</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p>
    <w:p w14:paraId="449818F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236A6BE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8E7E17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732295">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62946B5">
      <w:pPr>
        <w:pStyle w:val="10"/>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日期：</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年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日</w:t>
      </w:r>
    </w:p>
    <w:p w14:paraId="17B412AA">
      <w:pPr>
        <w:keepNext w:val="0"/>
        <w:keepLines w:val="0"/>
        <w:pageBreakBefore w:val="0"/>
        <w:widowControl w:val="0"/>
        <w:tabs>
          <w:tab w:val="left" w:pos="6390"/>
        </w:tabs>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sectPr>
          <w:pgSz w:w="11850" w:h="16783"/>
          <w:pgMar w:top="1134" w:right="1134" w:bottom="1134" w:left="1134" w:header="0" w:footer="992" w:gutter="0"/>
          <w:pgNumType w:fmt="decimal"/>
          <w:cols w:space="720" w:num="1"/>
        </w:sect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ab/>
      </w:r>
    </w:p>
    <w:p w14:paraId="6B56194E">
      <w:pPr>
        <w:keepNext w:val="0"/>
        <w:keepLines w:val="0"/>
        <w:pageBreakBefore w:val="0"/>
        <w:widowControl w:val="0"/>
        <w:kinsoku/>
        <w:wordWrap/>
        <w:overflowPunct/>
        <w:topLinePunct w:val="0"/>
        <w:autoSpaceDE/>
        <w:autoSpaceDN/>
        <w:bidi w:val="0"/>
        <w:adjustRightInd w:val="0"/>
        <w:snapToGrid w:val="0"/>
        <w:spacing w:before="71" w:line="400" w:lineRule="exact"/>
        <w:ind w:left="3508"/>
        <w:jc w:val="both"/>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目</w:t>
      </w:r>
      <w:r>
        <w:rPr>
          <w:rFonts w:hint="eastAsia" w:ascii="宋体" w:hAnsi="宋体" w:eastAsia="宋体" w:cs="宋体"/>
          <w:i w:val="0"/>
          <w:iCs w:val="0"/>
          <w:color w:val="000000" w:themeColor="text1"/>
          <w:spacing w:val="0"/>
          <w:sz w:val="36"/>
          <w:szCs w:val="36"/>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录</w:t>
      </w:r>
    </w:p>
    <w:p w14:paraId="0EEFB844">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69422F4">
      <w:pPr>
        <w:keepNext w:val="0"/>
        <w:keepLines w:val="0"/>
        <w:pageBreakBefore w:val="0"/>
        <w:widowControl w:val="0"/>
        <w:kinsoku/>
        <w:wordWrap/>
        <w:overflowPunct/>
        <w:topLinePunct w:val="0"/>
        <w:autoSpaceDE/>
        <w:autoSpaceDN/>
        <w:bidi w:val="0"/>
        <w:adjustRightInd w:val="0"/>
        <w:snapToGrid w:val="0"/>
        <w:spacing w:before="91" w:line="400" w:lineRule="exact"/>
        <w:ind w:left="49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一、</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工程总承包管理方案</w:t>
      </w:r>
    </w:p>
    <w:p w14:paraId="79F3731C">
      <w:pPr>
        <w:keepNext w:val="0"/>
        <w:keepLines w:val="0"/>
        <w:pageBreakBefore w:val="0"/>
        <w:widowControl w:val="0"/>
        <w:kinsoku/>
        <w:wordWrap/>
        <w:overflowPunct/>
        <w:topLinePunct w:val="0"/>
        <w:autoSpaceDE/>
        <w:autoSpaceDN/>
        <w:bidi w:val="0"/>
        <w:adjustRightInd w:val="0"/>
        <w:snapToGrid w:val="0"/>
        <w:spacing w:before="91" w:line="400" w:lineRule="exact"/>
        <w:ind w:left="498"/>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二、</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设计方案</w:t>
      </w:r>
    </w:p>
    <w:p w14:paraId="09D68C3B">
      <w:pPr>
        <w:keepNext w:val="0"/>
        <w:keepLines w:val="0"/>
        <w:pageBreakBefore w:val="0"/>
        <w:widowControl w:val="0"/>
        <w:kinsoku/>
        <w:wordWrap/>
        <w:overflowPunct/>
        <w:topLinePunct w:val="0"/>
        <w:autoSpaceDE/>
        <w:autoSpaceDN/>
        <w:bidi w:val="0"/>
        <w:adjustRightInd w:val="0"/>
        <w:snapToGrid w:val="0"/>
        <w:spacing w:before="91" w:line="400" w:lineRule="exact"/>
        <w:ind w:left="494"/>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三、施工方案</w:t>
      </w:r>
    </w:p>
    <w:p w14:paraId="422025B3">
      <w:pPr>
        <w:keepNext w:val="0"/>
        <w:keepLines w:val="0"/>
        <w:pageBreakBefore w:val="0"/>
        <w:widowControl w:val="0"/>
        <w:kinsoku/>
        <w:wordWrap/>
        <w:overflowPunct/>
        <w:topLinePunct w:val="0"/>
        <w:autoSpaceDE/>
        <w:autoSpaceDN/>
        <w:bidi w:val="0"/>
        <w:adjustRightInd w:val="0"/>
        <w:snapToGrid w:val="0"/>
        <w:spacing w:before="91" w:line="400" w:lineRule="exact"/>
        <w:ind w:left="494"/>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四、</w:t>
      </w: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采购方案</w:t>
      </w:r>
    </w:p>
    <w:p w14:paraId="2F5B7A53">
      <w:pPr>
        <w:keepNext w:val="0"/>
        <w:keepLines w:val="0"/>
        <w:pageBreakBefore w:val="0"/>
        <w:widowControl w:val="0"/>
        <w:kinsoku/>
        <w:wordWrap/>
        <w:overflowPunct/>
        <w:topLinePunct w:val="0"/>
        <w:autoSpaceDE/>
        <w:autoSpaceDN/>
        <w:bidi w:val="0"/>
        <w:adjustRightInd w:val="0"/>
        <w:snapToGrid w:val="0"/>
        <w:spacing w:before="91" w:line="400" w:lineRule="exact"/>
        <w:ind w:left="494"/>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五</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、服务承诺与售后服务</w:t>
      </w:r>
    </w:p>
    <w:p w14:paraId="6EBAFF7B">
      <w:pPr>
        <w:keepNext w:val="0"/>
        <w:keepLines w:val="0"/>
        <w:pageBreakBefore w:val="0"/>
        <w:widowControl w:val="0"/>
        <w:kinsoku/>
        <w:wordWrap/>
        <w:overflowPunct/>
        <w:topLinePunct w:val="0"/>
        <w:autoSpaceDE/>
        <w:autoSpaceDN/>
        <w:bidi w:val="0"/>
        <w:adjustRightInd w:val="0"/>
        <w:snapToGrid w:val="0"/>
        <w:spacing w:before="91" w:line="400" w:lineRule="exact"/>
        <w:ind w:left="49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六、</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p>
    <w:p w14:paraId="68A52D1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5" w:type="default"/>
          <w:pgSz w:w="11850" w:h="16783"/>
          <w:pgMar w:top="1134" w:right="1134" w:bottom="1134" w:left="1134" w:header="0" w:footer="992" w:gutter="0"/>
          <w:pgNumType w:fmt="decimal"/>
          <w:cols w:space="720" w:num="1"/>
        </w:sectPr>
      </w:pPr>
    </w:p>
    <w:p w14:paraId="7120573B">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6" w:type="default"/>
          <w:pgSz w:w="11850" w:h="16783"/>
          <w:pgMar w:top="1134" w:right="1134" w:bottom="1134" w:left="1134" w:header="0" w:footer="992" w:gutter="0"/>
          <w:pgNumType w:fmt="decimal"/>
          <w:cols w:space="720" w:num="1"/>
        </w:sect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工程总承包管理方案</w:t>
      </w:r>
    </w:p>
    <w:p w14:paraId="2234CE5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0BA36BA">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设计方案</w:t>
      </w:r>
    </w:p>
    <w:p w14:paraId="06E4B360">
      <w:pP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br w:type="page"/>
      </w:r>
    </w:p>
    <w:p w14:paraId="323A30F3">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施工方案</w:t>
      </w:r>
    </w:p>
    <w:p w14:paraId="37B09CED">
      <w:pP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br w:type="page"/>
      </w:r>
    </w:p>
    <w:p w14:paraId="6F20B5B9">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采购方案</w:t>
      </w:r>
    </w:p>
    <w:p w14:paraId="0730FC77">
      <w:pP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br w:type="page"/>
      </w:r>
    </w:p>
    <w:p w14:paraId="5B7DAD8F">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服务承诺与售后服务</w:t>
      </w:r>
    </w:p>
    <w:p w14:paraId="71FA14B6">
      <w:pPr>
        <w:rPr>
          <w:rFonts w:hint="eastAsia" w:ascii="宋体" w:hAnsi="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cs="宋体"/>
          <w:b/>
          <w:bCs/>
          <w:i w:val="0"/>
          <w:iCs w:val="0"/>
          <w:color w:val="000000" w:themeColor="text1"/>
          <w:spacing w:val="0"/>
          <w:sz w:val="28"/>
          <w:szCs w:val="28"/>
          <w:highlight w:val="none"/>
          <w:lang w:val="en-US" w:eastAsia="zh-CN"/>
          <w14:textFill>
            <w14:solidFill>
              <w14:schemeClr w14:val="tx1"/>
            </w14:solidFill>
          </w14:textFill>
        </w:rPr>
        <w:br w:type="page"/>
      </w:r>
    </w:p>
    <w:p w14:paraId="76C2F2E4">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t>招标人要求提交的其他资料(详见投标须知前附表)</w:t>
      </w:r>
    </w:p>
    <w:p w14:paraId="53EBDA06">
      <w:pP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0"/>
          <w:sz w:val="28"/>
          <w:szCs w:val="28"/>
          <w:highlight w:val="none"/>
          <w:lang w:val="en-US" w:eastAsia="zh-CN"/>
          <w14:textFill>
            <w14:solidFill>
              <w14:schemeClr w14:val="tx1"/>
            </w14:solidFill>
          </w14:textFill>
        </w:rPr>
        <w:br w:type="page"/>
      </w:r>
    </w:p>
    <w:p w14:paraId="155D4AE1">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黑体"/>
          <w:color w:val="000000" w:themeColor="text1"/>
          <w:sz w:val="32"/>
          <w:szCs w:val="32"/>
          <w:highlight w:val="none"/>
          <w:u w:val="single"/>
          <w:lang w:val="en-US" w:eastAsia="zh-CN"/>
          <w14:textFill>
            <w14:solidFill>
              <w14:schemeClr w14:val="tx1"/>
            </w14:solidFill>
          </w14:textFill>
        </w:rPr>
        <w:t>开化县城市有机更新共同富裕建设项目安置地（一）基础及室外附属设施配套工程—高压配电工程总承包（EPC）</w:t>
      </w:r>
    </w:p>
    <w:p w14:paraId="496194A7">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color w:val="000000" w:themeColor="text1"/>
          <w:sz w:val="32"/>
          <w:szCs w:val="32"/>
          <w:highlight w:val="none"/>
          <w:u w:val="single"/>
          <w:lang w:eastAsia="zh-CN"/>
          <w14:textFill>
            <w14:solidFill>
              <w14:schemeClr w14:val="tx1"/>
            </w14:solidFill>
          </w14:textFill>
        </w:rPr>
      </w:pPr>
      <w:r>
        <w:rPr>
          <w:rFonts w:hint="eastAsia" w:ascii="黑体" w:hAnsi="黑体" w:eastAsia="黑体" w:cs="黑体"/>
          <w:color w:val="000000" w:themeColor="text1"/>
          <w:sz w:val="32"/>
          <w:szCs w:val="32"/>
          <w:highlight w:val="none"/>
          <w:u w:val="single"/>
          <w:lang w:eastAsia="zh-CN"/>
          <w14:textFill>
            <w14:solidFill>
              <w14:schemeClr w14:val="tx1"/>
            </w14:solidFill>
          </w14:textFill>
        </w:rPr>
        <w:t>投标文件</w:t>
      </w:r>
    </w:p>
    <w:p w14:paraId="1E4A271E">
      <w:pPr>
        <w:keepNext w:val="0"/>
        <w:keepLines w:val="0"/>
        <w:pageBreakBefore w:val="0"/>
        <w:widowControl w:val="0"/>
        <w:kinsoku/>
        <w:wordWrap/>
        <w:overflowPunct/>
        <w:topLinePunct w:val="0"/>
        <w:autoSpaceDE/>
        <w:autoSpaceDN/>
        <w:bidi w:val="0"/>
        <w:adjustRightInd w:val="0"/>
        <w:snapToGrid w:val="0"/>
        <w:spacing w:before="142" w:line="400" w:lineRule="exact"/>
        <w:jc w:val="center"/>
        <w:textAlignment w:val="auto"/>
        <w:outlineLvl w:val="9"/>
        <w:rPr>
          <w:rFonts w:hint="eastAsia" w:ascii="宋体" w:hAnsi="宋体" w:eastAsia="宋体" w:cs="宋体"/>
          <w:i w:val="0"/>
          <w:iCs w:val="0"/>
          <w:color w:val="000000" w:themeColor="text1"/>
          <w:spacing w:val="0"/>
          <w:sz w:val="32"/>
          <w:szCs w:val="32"/>
          <w:highlight w:val="none"/>
          <w14:textFill>
            <w14:solidFill>
              <w14:schemeClr w14:val="tx1"/>
            </w14:solidFill>
          </w14:textFill>
        </w:rPr>
      </w:pPr>
      <w:r>
        <w:rPr>
          <w:rFonts w:hint="eastAsia" w:ascii="宋体" w:hAnsi="宋体" w:eastAsia="宋体" w:cs="宋体"/>
          <w:i w:val="0"/>
          <w:iCs w:val="0"/>
          <w:color w:val="000000" w:themeColor="text1"/>
          <w:spacing w:val="0"/>
          <w:sz w:val="32"/>
          <w:szCs w:val="32"/>
          <w:highlight w:val="none"/>
          <w14:textFill>
            <w14:solidFill>
              <w14:schemeClr w14:val="tx1"/>
            </w14:solidFill>
          </w14:textFill>
        </w:rPr>
        <w:t>（封面）</w:t>
      </w:r>
    </w:p>
    <w:p w14:paraId="0959992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98B6AF4">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E47F99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979725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FF4DFA3">
      <w:pPr>
        <w:keepNext w:val="0"/>
        <w:keepLines w:val="0"/>
        <w:pageBreakBefore w:val="0"/>
        <w:widowControl w:val="0"/>
        <w:kinsoku/>
        <w:wordWrap/>
        <w:overflowPunct/>
        <w:topLinePunct w:val="0"/>
        <w:autoSpaceDE/>
        <w:autoSpaceDN/>
        <w:bidi w:val="0"/>
        <w:adjustRightInd w:val="0"/>
        <w:snapToGrid w:val="0"/>
        <w:spacing w:before="101" w:line="400" w:lineRule="exact"/>
        <w:ind w:left="568"/>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项目名称：</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00F20782">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2FB5298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1CCB87FB">
      <w:pPr>
        <w:keepNext w:val="0"/>
        <w:keepLines w:val="0"/>
        <w:pageBreakBefore w:val="0"/>
        <w:widowControl w:val="0"/>
        <w:kinsoku/>
        <w:wordWrap/>
        <w:overflowPunct/>
        <w:topLinePunct w:val="0"/>
        <w:autoSpaceDE/>
        <w:autoSpaceDN/>
        <w:bidi w:val="0"/>
        <w:adjustRightInd w:val="0"/>
        <w:snapToGrid w:val="0"/>
        <w:spacing w:before="101" w:line="400" w:lineRule="exact"/>
        <w:ind w:left="566"/>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投标文件内容：</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投标文件资信标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52748D7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14F0406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0693194B">
      <w:pPr>
        <w:keepNext w:val="0"/>
        <w:keepLines w:val="0"/>
        <w:pageBreakBefore w:val="0"/>
        <w:widowControl w:val="0"/>
        <w:kinsoku/>
        <w:wordWrap/>
        <w:overflowPunct/>
        <w:topLinePunct w:val="0"/>
        <w:autoSpaceDE/>
        <w:autoSpaceDN/>
        <w:bidi w:val="0"/>
        <w:adjustRightInd w:val="0"/>
        <w:snapToGrid w:val="0"/>
        <w:spacing w:before="101" w:line="400" w:lineRule="exact"/>
        <w:ind w:left="566"/>
        <w:jc w:val="both"/>
        <w:textAlignment w:val="auto"/>
        <w:outlineLvl w:val="9"/>
        <w:rPr>
          <w:rFonts w:hint="default" w:ascii="宋体" w:hAnsi="宋体" w:eastAsia="宋体" w:cs="宋体"/>
          <w:i w:val="0"/>
          <w:iCs w:val="0"/>
          <w:color w:val="000000" w:themeColor="text1"/>
          <w:spacing w:val="0"/>
          <w:sz w:val="30"/>
          <w:szCs w:val="30"/>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（单位盖章）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p>
    <w:p w14:paraId="59DD762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0FF48FC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5D429DB0">
      <w:pPr>
        <w:keepNext w:val="0"/>
        <w:keepLines w:val="0"/>
        <w:pageBreakBefore w:val="0"/>
        <w:widowControl w:val="0"/>
        <w:kinsoku/>
        <w:wordWrap/>
        <w:overflowPunct/>
        <w:topLinePunct w:val="0"/>
        <w:autoSpaceDE/>
        <w:autoSpaceDN/>
        <w:bidi w:val="0"/>
        <w:adjustRightInd w:val="0"/>
        <w:snapToGrid w:val="0"/>
        <w:spacing w:before="101" w:line="400" w:lineRule="exact"/>
        <w:ind w:left="564"/>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法定代表人或委托代理人：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（签字或盖章）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7FD1F685">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C06D894">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2DFE27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423EF7">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CED07D8">
      <w:pPr>
        <w:pStyle w:val="10"/>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日期：</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年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日</w:t>
      </w:r>
    </w:p>
    <w:p w14:paraId="3477CA21">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3ED2B51A">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496D7317">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3490787A">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4F215636">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00629611">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br w:type="page"/>
      </w:r>
    </w:p>
    <w:p w14:paraId="50062834">
      <w:pPr>
        <w:keepNext w:val="0"/>
        <w:keepLines w:val="0"/>
        <w:pageBreakBefore w:val="0"/>
        <w:widowControl w:val="0"/>
        <w:kinsoku/>
        <w:wordWrap/>
        <w:overflowPunct/>
        <w:topLinePunct w:val="0"/>
        <w:autoSpaceDE/>
        <w:autoSpaceDN/>
        <w:bidi w:val="0"/>
        <w:adjustRightInd w:val="0"/>
        <w:snapToGrid w:val="0"/>
        <w:spacing w:before="114" w:line="400" w:lineRule="exact"/>
        <w:jc w:val="center"/>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目</w:t>
      </w:r>
      <w:r>
        <w:rPr>
          <w:rFonts w:hint="eastAsia" w:ascii="宋体" w:hAnsi="宋体" w:eastAsia="宋体" w:cs="宋体"/>
          <w:i w:val="0"/>
          <w:iCs w:val="0"/>
          <w:color w:val="000000" w:themeColor="text1"/>
          <w:spacing w:val="0"/>
          <w:sz w:val="36"/>
          <w:szCs w:val="36"/>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录</w:t>
      </w:r>
    </w:p>
    <w:p w14:paraId="6C377B1D">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49B3CAA">
      <w:pPr>
        <w:keepNext w:val="0"/>
        <w:keepLines w:val="0"/>
        <w:pageBreakBefore w:val="0"/>
        <w:widowControl w:val="0"/>
        <w:numPr>
          <w:ilvl w:val="0"/>
          <w:numId w:val="24"/>
        </w:numPr>
        <w:kinsoku/>
        <w:wordWrap/>
        <w:overflowPunct/>
        <w:topLinePunct w:val="0"/>
        <w:autoSpaceDE/>
        <w:autoSpaceDN/>
        <w:bidi w:val="0"/>
        <w:adjustRightInd w:val="0"/>
        <w:snapToGrid w:val="0"/>
        <w:spacing w:line="44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投标人一般情况（表1）</w:t>
      </w:r>
    </w:p>
    <w:p w14:paraId="338A4613">
      <w:pPr>
        <w:keepNext w:val="0"/>
        <w:keepLines w:val="0"/>
        <w:pageBreakBefore w:val="0"/>
        <w:widowControl w:val="0"/>
        <w:numPr>
          <w:ilvl w:val="0"/>
          <w:numId w:val="24"/>
        </w:numPr>
        <w:kinsoku/>
        <w:wordWrap/>
        <w:overflowPunct/>
        <w:topLinePunct w:val="0"/>
        <w:autoSpaceDE/>
        <w:autoSpaceDN/>
        <w:bidi w:val="0"/>
        <w:adjustRightInd w:val="0"/>
        <w:snapToGrid w:val="0"/>
        <w:spacing w:line="440" w:lineRule="exact"/>
        <w:ind w:left="0" w:leftChars="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□近年财务状况表（表2）</w:t>
      </w:r>
    </w:p>
    <w:p w14:paraId="3A4614CA">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三</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业绩汇总表（表3）（评分业绩条件的汇总，附相关业绩的证明材料，且需要准确详细列入）</w:t>
      </w:r>
    </w:p>
    <w:p w14:paraId="2740703D">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四</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、招标人要求提交的其他资料(详见投标须知前附表)。</w:t>
      </w:r>
    </w:p>
    <w:p w14:paraId="17A36EF4">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7" w:type="default"/>
          <w:pgSz w:w="11850" w:h="16783"/>
          <w:pgMar w:top="1134" w:right="1134" w:bottom="1134" w:left="1134" w:header="0" w:footer="992" w:gutter="0"/>
          <w:pgNumType w:fmt="decimal"/>
          <w:cols w:space="720" w:num="1"/>
        </w:sectPr>
      </w:pPr>
    </w:p>
    <w:p w14:paraId="6A153F44">
      <w:pPr>
        <w:keepNext w:val="0"/>
        <w:keepLines w:val="0"/>
        <w:widowControl/>
        <w:suppressLineNumbers w:val="0"/>
        <w:jc w:val="cente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 xml:space="preserve">表1 </w:t>
      </w:r>
      <w:r>
        <w:rPr>
          <w:rFonts w:hint="eastAsia" w:ascii="宋体" w:hAnsi="宋体" w:cs="宋体"/>
          <w:snapToGrid w:val="0"/>
          <w:color w:val="000000" w:themeColor="text1"/>
          <w:kern w:val="0"/>
          <w:sz w:val="28"/>
          <w:szCs w:val="28"/>
          <w:highlight w:val="none"/>
          <w:lang w:val="en-US" w:eastAsia="zh-CN" w:bidi="ar"/>
          <w14:textFill>
            <w14:solidFill>
              <w14:schemeClr w14:val="tx1"/>
            </w14:solidFill>
          </w14:textFill>
        </w:rPr>
        <w:t>□</w:t>
      </w: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投标人基本情况表</w:t>
      </w:r>
    </w:p>
    <w:tbl>
      <w:tblPr>
        <w:tblStyle w:val="60"/>
        <w:tblW w:w="85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4"/>
        <w:gridCol w:w="2385"/>
        <w:gridCol w:w="452"/>
        <w:gridCol w:w="1336"/>
        <w:gridCol w:w="1271"/>
        <w:gridCol w:w="1037"/>
        <w:gridCol w:w="731"/>
      </w:tblGrid>
      <w:tr w14:paraId="5A70E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1364" w:type="dxa"/>
            <w:vAlign w:val="top"/>
          </w:tcPr>
          <w:p w14:paraId="23F47CB9">
            <w:pPr>
              <w:pStyle w:val="43"/>
              <w:keepNext w:val="0"/>
              <w:keepLines w:val="0"/>
              <w:pageBreakBefore w:val="0"/>
              <w:widowControl w:val="0"/>
              <w:kinsoku/>
              <w:wordWrap/>
              <w:overflowPunct/>
              <w:topLinePunct w:val="0"/>
              <w:autoSpaceDE/>
              <w:autoSpaceDN/>
              <w:bidi w:val="0"/>
              <w:adjustRightInd w:val="0"/>
              <w:snapToGrid w:val="0"/>
              <w:spacing w:before="47" w:line="400" w:lineRule="exact"/>
              <w:ind w:left="119"/>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w:t>
            </w:r>
            <w:r>
              <w:rPr>
                <w:rFonts w:hint="eastAsia" w:cs="宋体"/>
                <w:i w:val="0"/>
                <w:iCs w:val="0"/>
                <w:color w:val="000000" w:themeColor="text1"/>
                <w:spacing w:val="0"/>
                <w:sz w:val="21"/>
                <w:szCs w:val="21"/>
                <w:highlight w:val="none"/>
                <w:lang w:eastAsia="zh-CN"/>
                <w14:textFill>
                  <w14:solidFill>
                    <w14:schemeClr w14:val="tx1"/>
                  </w14:solidFill>
                </w14:textFill>
              </w:rPr>
              <w:t>名</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称</w:t>
            </w:r>
          </w:p>
        </w:tc>
        <w:tc>
          <w:tcPr>
            <w:tcW w:w="7212" w:type="dxa"/>
            <w:gridSpan w:val="6"/>
            <w:vAlign w:val="top"/>
          </w:tcPr>
          <w:p w14:paraId="3295858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2D00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1364" w:type="dxa"/>
            <w:vAlign w:val="top"/>
          </w:tcPr>
          <w:p w14:paraId="08699857">
            <w:pPr>
              <w:pStyle w:val="43"/>
              <w:keepNext w:val="0"/>
              <w:keepLines w:val="0"/>
              <w:pageBreakBefore w:val="0"/>
              <w:widowControl w:val="0"/>
              <w:kinsoku/>
              <w:wordWrap/>
              <w:overflowPunct/>
              <w:topLinePunct w:val="0"/>
              <w:autoSpaceDE/>
              <w:autoSpaceDN/>
              <w:bidi w:val="0"/>
              <w:adjustRightInd w:val="0"/>
              <w:snapToGrid w:val="0"/>
              <w:spacing w:before="104" w:line="400" w:lineRule="exact"/>
              <w:ind w:left="116"/>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注册地址</w:t>
            </w:r>
          </w:p>
        </w:tc>
        <w:tc>
          <w:tcPr>
            <w:tcW w:w="4173" w:type="dxa"/>
            <w:gridSpan w:val="3"/>
            <w:vAlign w:val="top"/>
          </w:tcPr>
          <w:p w14:paraId="63D5BC0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1357A5A3">
            <w:pPr>
              <w:pStyle w:val="43"/>
              <w:keepNext w:val="0"/>
              <w:keepLines w:val="0"/>
              <w:pageBreakBefore w:val="0"/>
              <w:widowControl w:val="0"/>
              <w:kinsoku/>
              <w:wordWrap/>
              <w:overflowPunct/>
              <w:topLinePunct w:val="0"/>
              <w:autoSpaceDE/>
              <w:autoSpaceDN/>
              <w:bidi w:val="0"/>
              <w:adjustRightInd w:val="0"/>
              <w:snapToGrid w:val="0"/>
              <w:spacing w:before="105" w:line="400" w:lineRule="exact"/>
              <w:ind w:left="13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邮政编码</w:t>
            </w:r>
          </w:p>
        </w:tc>
        <w:tc>
          <w:tcPr>
            <w:tcW w:w="1768" w:type="dxa"/>
            <w:gridSpan w:val="2"/>
            <w:vAlign w:val="top"/>
          </w:tcPr>
          <w:p w14:paraId="6107D11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3A32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1364" w:type="dxa"/>
            <w:vAlign w:val="top"/>
          </w:tcPr>
          <w:p w14:paraId="6F68E147">
            <w:pPr>
              <w:pStyle w:val="43"/>
              <w:keepNext w:val="0"/>
              <w:keepLines w:val="0"/>
              <w:pageBreakBefore w:val="0"/>
              <w:widowControl w:val="0"/>
              <w:kinsoku/>
              <w:wordWrap/>
              <w:overflowPunct/>
              <w:topLinePunct w:val="0"/>
              <w:autoSpaceDE/>
              <w:autoSpaceDN/>
              <w:bidi w:val="0"/>
              <w:adjustRightInd w:val="0"/>
              <w:snapToGrid w:val="0"/>
              <w:spacing w:before="180" w:line="400" w:lineRule="exact"/>
              <w:ind w:left="330"/>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联系人</w:t>
            </w:r>
          </w:p>
        </w:tc>
        <w:tc>
          <w:tcPr>
            <w:tcW w:w="4173" w:type="dxa"/>
            <w:gridSpan w:val="3"/>
            <w:vAlign w:val="top"/>
          </w:tcPr>
          <w:p w14:paraId="38DC91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033ACFDB">
            <w:pPr>
              <w:pStyle w:val="43"/>
              <w:keepNext w:val="0"/>
              <w:keepLines w:val="0"/>
              <w:pageBreakBefore w:val="0"/>
              <w:widowControl w:val="0"/>
              <w:kinsoku/>
              <w:wordWrap/>
              <w:overflowPunct/>
              <w:topLinePunct w:val="0"/>
              <w:autoSpaceDE/>
              <w:autoSpaceDN/>
              <w:bidi w:val="0"/>
              <w:adjustRightInd w:val="0"/>
              <w:snapToGrid w:val="0"/>
              <w:spacing w:before="180" w:line="400" w:lineRule="exact"/>
              <w:ind w:left="43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p>
        </w:tc>
        <w:tc>
          <w:tcPr>
            <w:tcW w:w="1768" w:type="dxa"/>
            <w:gridSpan w:val="2"/>
            <w:vAlign w:val="top"/>
          </w:tcPr>
          <w:p w14:paraId="36C3A7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8503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1364" w:type="dxa"/>
            <w:vMerge w:val="restart"/>
            <w:tcBorders>
              <w:bottom w:val="nil"/>
            </w:tcBorders>
            <w:vAlign w:val="top"/>
          </w:tcPr>
          <w:p w14:paraId="070F1E7D">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A8508CF">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5B856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8A4426B">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12"/>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投标责任</w:t>
            </w:r>
          </w:p>
          <w:p w14:paraId="40495001">
            <w:pPr>
              <w:pStyle w:val="43"/>
              <w:keepNext w:val="0"/>
              <w:keepLines w:val="0"/>
              <w:pageBreakBefore w:val="0"/>
              <w:widowControl w:val="0"/>
              <w:kinsoku/>
              <w:wordWrap/>
              <w:overflowPunct/>
              <w:topLinePunct w:val="0"/>
              <w:autoSpaceDE/>
              <w:autoSpaceDN/>
              <w:bidi w:val="0"/>
              <w:adjustRightInd w:val="0"/>
              <w:snapToGrid w:val="0"/>
              <w:spacing w:before="23" w:line="400" w:lineRule="exact"/>
              <w:ind w:left="328" w:right="107" w:hanging="210"/>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人（法律责 任人）</w:t>
            </w:r>
          </w:p>
        </w:tc>
        <w:tc>
          <w:tcPr>
            <w:tcW w:w="2385" w:type="dxa"/>
            <w:vAlign w:val="top"/>
          </w:tcPr>
          <w:p w14:paraId="359869F2">
            <w:pPr>
              <w:pStyle w:val="43"/>
              <w:keepNext w:val="0"/>
              <w:keepLines w:val="0"/>
              <w:pageBreakBefore w:val="0"/>
              <w:widowControl w:val="0"/>
              <w:kinsoku/>
              <w:wordWrap/>
              <w:overflowPunct/>
              <w:topLinePunct w:val="0"/>
              <w:autoSpaceDE/>
              <w:autoSpaceDN/>
              <w:bidi w:val="0"/>
              <w:adjustRightInd w:val="0"/>
              <w:snapToGrid w:val="0"/>
              <w:spacing w:before="59" w:line="400" w:lineRule="exact"/>
              <w:ind w:left="15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投标直接责任人员为本</w:t>
            </w:r>
          </w:p>
          <w:p w14:paraId="17010805">
            <w:pPr>
              <w:pStyle w:val="43"/>
              <w:keepNext w:val="0"/>
              <w:keepLines w:val="0"/>
              <w:pageBreakBefore w:val="0"/>
              <w:widowControl w:val="0"/>
              <w:kinsoku/>
              <w:wordWrap/>
              <w:overflowPunct/>
              <w:topLinePunct w:val="0"/>
              <w:autoSpaceDE/>
              <w:autoSpaceDN/>
              <w:bidi w:val="0"/>
              <w:adjustRightInd w:val="0"/>
              <w:snapToGrid w:val="0"/>
              <w:spacing w:before="80" w:line="400" w:lineRule="exact"/>
              <w:ind w:left="25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次投标委托授权代表</w:t>
            </w:r>
          </w:p>
        </w:tc>
        <w:tc>
          <w:tcPr>
            <w:tcW w:w="1788" w:type="dxa"/>
            <w:gridSpan w:val="2"/>
            <w:vAlign w:val="top"/>
          </w:tcPr>
          <w:p w14:paraId="7C9B336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03222D3F">
            <w:pPr>
              <w:pStyle w:val="43"/>
              <w:keepNext w:val="0"/>
              <w:keepLines w:val="0"/>
              <w:pageBreakBefore w:val="0"/>
              <w:widowControl w:val="0"/>
              <w:kinsoku/>
              <w:wordWrap/>
              <w:overflowPunct/>
              <w:topLinePunct w:val="0"/>
              <w:autoSpaceDE/>
              <w:autoSpaceDN/>
              <w:bidi w:val="0"/>
              <w:adjustRightInd w:val="0"/>
              <w:snapToGrid w:val="0"/>
              <w:spacing w:before="208" w:line="400" w:lineRule="exact"/>
              <w:ind w:left="43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p>
        </w:tc>
        <w:tc>
          <w:tcPr>
            <w:tcW w:w="1768" w:type="dxa"/>
            <w:gridSpan w:val="2"/>
            <w:vAlign w:val="top"/>
          </w:tcPr>
          <w:p w14:paraId="6EE330F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FD7A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jc w:val="center"/>
        </w:trPr>
        <w:tc>
          <w:tcPr>
            <w:tcW w:w="1364" w:type="dxa"/>
            <w:vMerge w:val="continue"/>
            <w:tcBorders>
              <w:top w:val="nil"/>
              <w:bottom w:val="nil"/>
            </w:tcBorders>
            <w:vAlign w:val="top"/>
          </w:tcPr>
          <w:p w14:paraId="562F3C6E">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385" w:type="dxa"/>
            <w:vAlign w:val="top"/>
          </w:tcPr>
          <w:p w14:paraId="0CD2B624">
            <w:pPr>
              <w:pStyle w:val="43"/>
              <w:keepNext w:val="0"/>
              <w:keepLines w:val="0"/>
              <w:pageBreakBefore w:val="0"/>
              <w:widowControl w:val="0"/>
              <w:kinsoku/>
              <w:wordWrap/>
              <w:overflowPunct/>
              <w:topLinePunct w:val="0"/>
              <w:autoSpaceDE/>
              <w:autoSpaceDN/>
              <w:bidi w:val="0"/>
              <w:adjustRightInd w:val="0"/>
              <w:snapToGrid w:val="0"/>
              <w:spacing w:before="194" w:line="400" w:lineRule="exact"/>
              <w:ind w:left="78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w:t>
            </w:r>
          </w:p>
        </w:tc>
        <w:tc>
          <w:tcPr>
            <w:tcW w:w="1788" w:type="dxa"/>
            <w:gridSpan w:val="2"/>
            <w:vAlign w:val="top"/>
          </w:tcPr>
          <w:p w14:paraId="7A5C960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7118B028">
            <w:pPr>
              <w:pStyle w:val="43"/>
              <w:keepNext w:val="0"/>
              <w:keepLines w:val="0"/>
              <w:pageBreakBefore w:val="0"/>
              <w:widowControl w:val="0"/>
              <w:kinsoku/>
              <w:wordWrap/>
              <w:overflowPunct/>
              <w:topLinePunct w:val="0"/>
              <w:autoSpaceDE/>
              <w:autoSpaceDN/>
              <w:bidi w:val="0"/>
              <w:adjustRightInd w:val="0"/>
              <w:snapToGrid w:val="0"/>
              <w:spacing w:before="179" w:line="400" w:lineRule="exact"/>
              <w:ind w:left="40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住址</w:t>
            </w:r>
          </w:p>
        </w:tc>
        <w:tc>
          <w:tcPr>
            <w:tcW w:w="1768" w:type="dxa"/>
            <w:gridSpan w:val="2"/>
            <w:vAlign w:val="top"/>
          </w:tcPr>
          <w:p w14:paraId="52A3E86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E337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1364" w:type="dxa"/>
            <w:vMerge w:val="continue"/>
            <w:tcBorders>
              <w:top w:val="nil"/>
              <w:bottom w:val="nil"/>
            </w:tcBorders>
            <w:vAlign w:val="top"/>
          </w:tcPr>
          <w:p w14:paraId="211F20A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385" w:type="dxa"/>
            <w:vAlign w:val="top"/>
          </w:tcPr>
          <w:p w14:paraId="5F15281F">
            <w:pPr>
              <w:pStyle w:val="43"/>
              <w:keepNext w:val="0"/>
              <w:keepLines w:val="0"/>
              <w:pageBreakBefore w:val="0"/>
              <w:widowControl w:val="0"/>
              <w:kinsoku/>
              <w:wordWrap/>
              <w:overflowPunct/>
              <w:topLinePunct w:val="0"/>
              <w:autoSpaceDE/>
              <w:autoSpaceDN/>
              <w:bidi w:val="0"/>
              <w:adjustRightInd w:val="0"/>
              <w:snapToGrid w:val="0"/>
              <w:spacing w:before="61" w:line="400" w:lineRule="exact"/>
              <w:ind w:left="881" w:right="142" w:hanging="73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投标的主管人员为法定 代表人</w:t>
            </w:r>
          </w:p>
        </w:tc>
        <w:tc>
          <w:tcPr>
            <w:tcW w:w="1788" w:type="dxa"/>
            <w:gridSpan w:val="2"/>
            <w:vAlign w:val="top"/>
          </w:tcPr>
          <w:p w14:paraId="79C93C0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58D13801">
            <w:pPr>
              <w:pStyle w:val="43"/>
              <w:keepNext w:val="0"/>
              <w:keepLines w:val="0"/>
              <w:pageBreakBefore w:val="0"/>
              <w:widowControl w:val="0"/>
              <w:kinsoku/>
              <w:wordWrap/>
              <w:overflowPunct/>
              <w:topLinePunct w:val="0"/>
              <w:autoSpaceDE/>
              <w:autoSpaceDN/>
              <w:bidi w:val="0"/>
              <w:adjustRightInd w:val="0"/>
              <w:snapToGrid w:val="0"/>
              <w:spacing w:before="209" w:line="400" w:lineRule="exact"/>
              <w:ind w:left="43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p>
        </w:tc>
        <w:tc>
          <w:tcPr>
            <w:tcW w:w="1768" w:type="dxa"/>
            <w:gridSpan w:val="2"/>
            <w:vAlign w:val="top"/>
          </w:tcPr>
          <w:p w14:paraId="6C87CBF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0905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1364" w:type="dxa"/>
            <w:vMerge w:val="continue"/>
            <w:tcBorders>
              <w:top w:val="nil"/>
            </w:tcBorders>
            <w:vAlign w:val="top"/>
          </w:tcPr>
          <w:p w14:paraId="7C1C1032">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385" w:type="dxa"/>
            <w:vAlign w:val="top"/>
          </w:tcPr>
          <w:p w14:paraId="5CFD2512">
            <w:pPr>
              <w:pStyle w:val="43"/>
              <w:keepNext w:val="0"/>
              <w:keepLines w:val="0"/>
              <w:pageBreakBefore w:val="0"/>
              <w:widowControl w:val="0"/>
              <w:kinsoku/>
              <w:wordWrap/>
              <w:overflowPunct/>
              <w:topLinePunct w:val="0"/>
              <w:autoSpaceDE/>
              <w:autoSpaceDN/>
              <w:bidi w:val="0"/>
              <w:adjustRightInd w:val="0"/>
              <w:snapToGrid w:val="0"/>
              <w:spacing w:before="195" w:line="400" w:lineRule="exact"/>
              <w:ind w:left="78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w:t>
            </w:r>
          </w:p>
        </w:tc>
        <w:tc>
          <w:tcPr>
            <w:tcW w:w="1788" w:type="dxa"/>
            <w:gridSpan w:val="2"/>
            <w:vAlign w:val="top"/>
          </w:tcPr>
          <w:p w14:paraId="0E4E410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16000D45">
            <w:pPr>
              <w:pStyle w:val="43"/>
              <w:keepNext w:val="0"/>
              <w:keepLines w:val="0"/>
              <w:pageBreakBefore w:val="0"/>
              <w:widowControl w:val="0"/>
              <w:kinsoku/>
              <w:wordWrap/>
              <w:overflowPunct/>
              <w:topLinePunct w:val="0"/>
              <w:autoSpaceDE/>
              <w:autoSpaceDN/>
              <w:bidi w:val="0"/>
              <w:adjustRightInd w:val="0"/>
              <w:snapToGrid w:val="0"/>
              <w:spacing w:before="181" w:line="400" w:lineRule="exact"/>
              <w:ind w:left="40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住址</w:t>
            </w:r>
          </w:p>
        </w:tc>
        <w:tc>
          <w:tcPr>
            <w:tcW w:w="1768" w:type="dxa"/>
            <w:gridSpan w:val="2"/>
            <w:vAlign w:val="top"/>
          </w:tcPr>
          <w:p w14:paraId="31F06E4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6D46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64" w:type="dxa"/>
            <w:vAlign w:val="top"/>
          </w:tcPr>
          <w:p w14:paraId="59596440">
            <w:pPr>
              <w:pStyle w:val="43"/>
              <w:keepNext w:val="0"/>
              <w:keepLines w:val="0"/>
              <w:pageBreakBefore w:val="0"/>
              <w:widowControl w:val="0"/>
              <w:kinsoku/>
              <w:wordWrap/>
              <w:overflowPunct/>
              <w:topLinePunct w:val="0"/>
              <w:autoSpaceDE/>
              <w:autoSpaceDN/>
              <w:bidi w:val="0"/>
              <w:adjustRightInd w:val="0"/>
              <w:snapToGrid w:val="0"/>
              <w:spacing w:before="188" w:line="400" w:lineRule="exact"/>
              <w:ind w:left="119"/>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组织结构</w:t>
            </w:r>
          </w:p>
        </w:tc>
        <w:tc>
          <w:tcPr>
            <w:tcW w:w="7212" w:type="dxa"/>
            <w:gridSpan w:val="6"/>
            <w:vAlign w:val="top"/>
          </w:tcPr>
          <w:p w14:paraId="1B39CEB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E01E8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1364" w:type="dxa"/>
            <w:vAlign w:val="top"/>
          </w:tcPr>
          <w:p w14:paraId="7225A8D0">
            <w:pPr>
              <w:pStyle w:val="43"/>
              <w:keepNext w:val="0"/>
              <w:keepLines w:val="0"/>
              <w:pageBreakBefore w:val="0"/>
              <w:widowControl w:val="0"/>
              <w:kinsoku/>
              <w:wordWrap/>
              <w:overflowPunct/>
              <w:topLinePunct w:val="0"/>
              <w:autoSpaceDE/>
              <w:autoSpaceDN/>
              <w:bidi w:val="0"/>
              <w:adjustRightInd w:val="0"/>
              <w:snapToGrid w:val="0"/>
              <w:spacing w:before="45" w:line="400" w:lineRule="exact"/>
              <w:ind w:left="117"/>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5"/>
                <w:sz w:val="21"/>
                <w:szCs w:val="21"/>
                <w:highlight w:val="none"/>
                <w14:textFill>
                  <w14:solidFill>
                    <w14:schemeClr w14:val="tx1"/>
                  </w14:solidFill>
                </w14:textFill>
              </w:rPr>
              <w:t>法定代表</w:t>
            </w:r>
          </w:p>
          <w:p w14:paraId="42564F83">
            <w:pPr>
              <w:pStyle w:val="43"/>
              <w:keepNext w:val="0"/>
              <w:keepLines w:val="0"/>
              <w:pageBreakBefore w:val="0"/>
              <w:widowControl w:val="0"/>
              <w:kinsoku/>
              <w:wordWrap/>
              <w:overflowPunct/>
              <w:topLinePunct w:val="0"/>
              <w:autoSpaceDE/>
              <w:autoSpaceDN/>
              <w:bidi w:val="0"/>
              <w:adjustRightInd w:val="0"/>
              <w:snapToGrid w:val="0"/>
              <w:spacing w:line="400" w:lineRule="exact"/>
              <w:ind w:left="118"/>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人姓名</w:t>
            </w:r>
          </w:p>
        </w:tc>
        <w:tc>
          <w:tcPr>
            <w:tcW w:w="2837" w:type="dxa"/>
            <w:gridSpan w:val="2"/>
            <w:vAlign w:val="top"/>
          </w:tcPr>
          <w:p w14:paraId="613D5F1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Align w:val="top"/>
          </w:tcPr>
          <w:p w14:paraId="2D33F8E5">
            <w:pPr>
              <w:pStyle w:val="43"/>
              <w:keepNext w:val="0"/>
              <w:keepLines w:val="0"/>
              <w:pageBreakBefore w:val="0"/>
              <w:widowControl w:val="0"/>
              <w:kinsoku/>
              <w:wordWrap/>
              <w:overflowPunct/>
              <w:topLinePunct w:val="0"/>
              <w:autoSpaceDE/>
              <w:autoSpaceDN/>
              <w:bidi w:val="0"/>
              <w:adjustRightInd w:val="0"/>
              <w:snapToGrid w:val="0"/>
              <w:spacing w:before="209"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技术职称</w:t>
            </w:r>
          </w:p>
        </w:tc>
        <w:tc>
          <w:tcPr>
            <w:tcW w:w="1271" w:type="dxa"/>
            <w:vAlign w:val="top"/>
          </w:tcPr>
          <w:p w14:paraId="64366A4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37" w:type="dxa"/>
            <w:vAlign w:val="top"/>
          </w:tcPr>
          <w:p w14:paraId="178B20A3">
            <w:pPr>
              <w:pStyle w:val="43"/>
              <w:keepNext w:val="0"/>
              <w:keepLines w:val="0"/>
              <w:pageBreakBefore w:val="0"/>
              <w:widowControl w:val="0"/>
              <w:kinsoku/>
              <w:wordWrap/>
              <w:overflowPunct/>
              <w:topLinePunct w:val="0"/>
              <w:autoSpaceDE/>
              <w:autoSpaceDN/>
              <w:bidi w:val="0"/>
              <w:adjustRightInd w:val="0"/>
              <w:snapToGrid w:val="0"/>
              <w:spacing w:before="209" w:line="400" w:lineRule="exact"/>
              <w:ind w:left="14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p>
        </w:tc>
        <w:tc>
          <w:tcPr>
            <w:tcW w:w="731" w:type="dxa"/>
            <w:vAlign w:val="top"/>
          </w:tcPr>
          <w:p w14:paraId="1F14348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8209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1364" w:type="dxa"/>
            <w:vAlign w:val="top"/>
          </w:tcPr>
          <w:p w14:paraId="559BCCB8">
            <w:pPr>
              <w:pStyle w:val="43"/>
              <w:keepNext w:val="0"/>
              <w:keepLines w:val="0"/>
              <w:pageBreakBefore w:val="0"/>
              <w:widowControl w:val="0"/>
              <w:kinsoku/>
              <w:wordWrap/>
              <w:overflowPunct/>
              <w:topLinePunct w:val="0"/>
              <w:autoSpaceDE/>
              <w:autoSpaceDN/>
              <w:bidi w:val="0"/>
              <w:adjustRightInd w:val="0"/>
              <w:snapToGrid w:val="0"/>
              <w:spacing w:before="46" w:line="400" w:lineRule="exact"/>
              <w:ind w:left="117"/>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技术负责</w:t>
            </w:r>
          </w:p>
          <w:p w14:paraId="7A528615">
            <w:pPr>
              <w:pStyle w:val="43"/>
              <w:keepNext w:val="0"/>
              <w:keepLines w:val="0"/>
              <w:pageBreakBefore w:val="0"/>
              <w:widowControl w:val="0"/>
              <w:kinsoku/>
              <w:wordWrap/>
              <w:overflowPunct/>
              <w:topLinePunct w:val="0"/>
              <w:autoSpaceDE/>
              <w:autoSpaceDN/>
              <w:bidi w:val="0"/>
              <w:adjustRightInd w:val="0"/>
              <w:snapToGrid w:val="0"/>
              <w:spacing w:line="400" w:lineRule="exact"/>
              <w:ind w:left="118"/>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人姓名</w:t>
            </w:r>
          </w:p>
        </w:tc>
        <w:tc>
          <w:tcPr>
            <w:tcW w:w="2837" w:type="dxa"/>
            <w:gridSpan w:val="2"/>
            <w:vAlign w:val="top"/>
          </w:tcPr>
          <w:p w14:paraId="19D1A7B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Align w:val="top"/>
          </w:tcPr>
          <w:p w14:paraId="5B1D0E90">
            <w:pPr>
              <w:pStyle w:val="43"/>
              <w:keepNext w:val="0"/>
              <w:keepLines w:val="0"/>
              <w:pageBreakBefore w:val="0"/>
              <w:widowControl w:val="0"/>
              <w:kinsoku/>
              <w:wordWrap/>
              <w:overflowPunct/>
              <w:topLinePunct w:val="0"/>
              <w:autoSpaceDE/>
              <w:autoSpaceDN/>
              <w:bidi w:val="0"/>
              <w:adjustRightInd w:val="0"/>
              <w:snapToGrid w:val="0"/>
              <w:spacing w:before="209"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技术职称</w:t>
            </w:r>
          </w:p>
        </w:tc>
        <w:tc>
          <w:tcPr>
            <w:tcW w:w="1271" w:type="dxa"/>
            <w:vAlign w:val="top"/>
          </w:tcPr>
          <w:p w14:paraId="04D5706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37" w:type="dxa"/>
            <w:vAlign w:val="top"/>
          </w:tcPr>
          <w:p w14:paraId="7311A85E">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4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p>
        </w:tc>
        <w:tc>
          <w:tcPr>
            <w:tcW w:w="731" w:type="dxa"/>
            <w:vAlign w:val="top"/>
          </w:tcPr>
          <w:p w14:paraId="7F6994C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D9C8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jc w:val="center"/>
        </w:trPr>
        <w:tc>
          <w:tcPr>
            <w:tcW w:w="1364" w:type="dxa"/>
            <w:vAlign w:val="top"/>
          </w:tcPr>
          <w:p w14:paraId="76B0780D">
            <w:pPr>
              <w:pStyle w:val="43"/>
              <w:keepNext w:val="0"/>
              <w:keepLines w:val="0"/>
              <w:pageBreakBefore w:val="0"/>
              <w:widowControl w:val="0"/>
              <w:kinsoku/>
              <w:wordWrap/>
              <w:overflowPunct/>
              <w:topLinePunct w:val="0"/>
              <w:autoSpaceDE/>
              <w:autoSpaceDN/>
              <w:bidi w:val="0"/>
              <w:adjustRightInd w:val="0"/>
              <w:snapToGrid w:val="0"/>
              <w:spacing w:before="188" w:line="400" w:lineRule="exact"/>
              <w:ind w:left="118"/>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成立时间</w:t>
            </w:r>
          </w:p>
        </w:tc>
        <w:tc>
          <w:tcPr>
            <w:tcW w:w="2837" w:type="dxa"/>
            <w:gridSpan w:val="2"/>
            <w:vAlign w:val="top"/>
          </w:tcPr>
          <w:p w14:paraId="529CF5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4375" w:type="dxa"/>
            <w:gridSpan w:val="4"/>
            <w:vAlign w:val="top"/>
          </w:tcPr>
          <w:p w14:paraId="204EE56A">
            <w:pPr>
              <w:pStyle w:val="43"/>
              <w:keepNext w:val="0"/>
              <w:keepLines w:val="0"/>
              <w:pageBreakBefore w:val="0"/>
              <w:widowControl w:val="0"/>
              <w:kinsoku/>
              <w:wordWrap/>
              <w:overflowPunct/>
              <w:topLinePunct w:val="0"/>
              <w:autoSpaceDE/>
              <w:autoSpaceDN/>
              <w:bidi w:val="0"/>
              <w:adjustRightInd w:val="0"/>
              <w:snapToGrid w:val="0"/>
              <w:spacing w:before="189" w:line="400" w:lineRule="exact"/>
              <w:ind w:left="12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员工总人数：</w:t>
            </w:r>
          </w:p>
        </w:tc>
      </w:tr>
      <w:tr w14:paraId="0AAA9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1364" w:type="dxa"/>
            <w:vAlign w:val="top"/>
          </w:tcPr>
          <w:p w14:paraId="2796143F">
            <w:pPr>
              <w:pStyle w:val="43"/>
              <w:keepNext w:val="0"/>
              <w:keepLines w:val="0"/>
              <w:pageBreakBefore w:val="0"/>
              <w:widowControl w:val="0"/>
              <w:kinsoku/>
              <w:wordWrap/>
              <w:overflowPunct/>
              <w:topLinePunct w:val="0"/>
              <w:autoSpaceDE/>
              <w:autoSpaceDN/>
              <w:bidi w:val="0"/>
              <w:adjustRightInd w:val="0"/>
              <w:snapToGrid w:val="0"/>
              <w:spacing w:before="79" w:line="400" w:lineRule="exact"/>
              <w:ind w:left="120"/>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5"/>
                <w:sz w:val="21"/>
                <w:szCs w:val="21"/>
                <w:highlight w:val="none"/>
                <w14:textFill>
                  <w14:solidFill>
                    <w14:schemeClr w14:val="tx1"/>
                  </w14:solidFill>
                </w14:textFill>
              </w:rPr>
              <w:t>企业资质</w:t>
            </w:r>
          </w:p>
          <w:p w14:paraId="262AFC34">
            <w:pPr>
              <w:pStyle w:val="43"/>
              <w:keepNext w:val="0"/>
              <w:keepLines w:val="0"/>
              <w:pageBreakBefore w:val="0"/>
              <w:widowControl w:val="0"/>
              <w:kinsoku/>
              <w:wordWrap/>
              <w:overflowPunct/>
              <w:topLinePunct w:val="0"/>
              <w:autoSpaceDE/>
              <w:autoSpaceDN/>
              <w:bidi w:val="0"/>
              <w:adjustRightInd w:val="0"/>
              <w:snapToGrid w:val="0"/>
              <w:spacing w:line="400" w:lineRule="exact"/>
              <w:ind w:left="118"/>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等级</w:t>
            </w:r>
          </w:p>
        </w:tc>
        <w:tc>
          <w:tcPr>
            <w:tcW w:w="2837" w:type="dxa"/>
            <w:gridSpan w:val="2"/>
            <w:vAlign w:val="top"/>
          </w:tcPr>
          <w:p w14:paraId="2D672D0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Merge w:val="restart"/>
            <w:tcBorders>
              <w:bottom w:val="nil"/>
            </w:tcBorders>
            <w:vAlign w:val="top"/>
          </w:tcPr>
          <w:p w14:paraId="79047D0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DA12C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EBE96A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792A75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CDFE70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602535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90A88B7">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其中</w:t>
            </w:r>
          </w:p>
        </w:tc>
        <w:tc>
          <w:tcPr>
            <w:tcW w:w="1271" w:type="dxa"/>
            <w:vAlign w:val="top"/>
          </w:tcPr>
          <w:p w14:paraId="0ADE159F">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17" w:right="199" w:firstLine="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项目负责 人</w:t>
            </w:r>
          </w:p>
        </w:tc>
        <w:tc>
          <w:tcPr>
            <w:tcW w:w="1768" w:type="dxa"/>
            <w:gridSpan w:val="2"/>
            <w:vAlign w:val="top"/>
          </w:tcPr>
          <w:p w14:paraId="3B8ACE3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84AC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jc w:val="center"/>
        </w:trPr>
        <w:tc>
          <w:tcPr>
            <w:tcW w:w="1364" w:type="dxa"/>
            <w:vAlign w:val="top"/>
          </w:tcPr>
          <w:p w14:paraId="61F82D0A">
            <w:pPr>
              <w:pStyle w:val="43"/>
              <w:keepNext w:val="0"/>
              <w:keepLines w:val="0"/>
              <w:pageBreakBefore w:val="0"/>
              <w:widowControl w:val="0"/>
              <w:kinsoku/>
              <w:wordWrap/>
              <w:overflowPunct/>
              <w:topLinePunct w:val="0"/>
              <w:autoSpaceDE/>
              <w:autoSpaceDN/>
              <w:bidi w:val="0"/>
              <w:adjustRightInd w:val="0"/>
              <w:snapToGrid w:val="0"/>
              <w:spacing w:before="101" w:line="400" w:lineRule="exact"/>
              <w:ind w:left="123"/>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营业执照</w:t>
            </w:r>
          </w:p>
          <w:p w14:paraId="14F71BDD">
            <w:pPr>
              <w:pStyle w:val="43"/>
              <w:keepNext w:val="0"/>
              <w:keepLines w:val="0"/>
              <w:pageBreakBefore w:val="0"/>
              <w:widowControl w:val="0"/>
              <w:kinsoku/>
              <w:wordWrap/>
              <w:overflowPunct/>
              <w:topLinePunct w:val="0"/>
              <w:autoSpaceDE/>
              <w:autoSpaceDN/>
              <w:bidi w:val="0"/>
              <w:adjustRightInd w:val="0"/>
              <w:snapToGrid w:val="0"/>
              <w:spacing w:before="1" w:line="400" w:lineRule="exact"/>
              <w:ind w:left="121"/>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号</w:t>
            </w:r>
          </w:p>
        </w:tc>
        <w:tc>
          <w:tcPr>
            <w:tcW w:w="2837" w:type="dxa"/>
            <w:gridSpan w:val="2"/>
            <w:vAlign w:val="top"/>
          </w:tcPr>
          <w:p w14:paraId="47C7C10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Merge w:val="continue"/>
            <w:tcBorders>
              <w:top w:val="nil"/>
              <w:bottom w:val="nil"/>
            </w:tcBorders>
            <w:vAlign w:val="top"/>
          </w:tcPr>
          <w:p w14:paraId="7DC290B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5F8E96DD">
            <w:pPr>
              <w:pStyle w:val="43"/>
              <w:keepNext w:val="0"/>
              <w:keepLines w:val="0"/>
              <w:pageBreakBefore w:val="0"/>
              <w:widowControl w:val="0"/>
              <w:kinsoku/>
              <w:wordWrap/>
              <w:overflowPunct/>
              <w:topLinePunct w:val="0"/>
              <w:autoSpaceDE/>
              <w:autoSpaceDN/>
              <w:bidi w:val="0"/>
              <w:adjustRightInd w:val="0"/>
              <w:snapToGrid w:val="0"/>
              <w:spacing w:before="101" w:line="400" w:lineRule="exact"/>
              <w:ind w:left="117" w:right="199" w:firstLine="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高级职称 人员</w:t>
            </w:r>
          </w:p>
        </w:tc>
        <w:tc>
          <w:tcPr>
            <w:tcW w:w="1768" w:type="dxa"/>
            <w:gridSpan w:val="2"/>
            <w:vAlign w:val="top"/>
          </w:tcPr>
          <w:p w14:paraId="5AEF1B8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3D05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1364" w:type="dxa"/>
            <w:vAlign w:val="top"/>
          </w:tcPr>
          <w:p w14:paraId="5197F1BE">
            <w:pPr>
              <w:pStyle w:val="43"/>
              <w:keepNext w:val="0"/>
              <w:keepLines w:val="0"/>
              <w:pageBreakBefore w:val="0"/>
              <w:widowControl w:val="0"/>
              <w:kinsoku/>
              <w:wordWrap/>
              <w:overflowPunct/>
              <w:topLinePunct w:val="0"/>
              <w:autoSpaceDE/>
              <w:autoSpaceDN/>
              <w:bidi w:val="0"/>
              <w:adjustRightInd w:val="0"/>
              <w:snapToGrid w:val="0"/>
              <w:spacing w:before="209" w:line="400" w:lineRule="exact"/>
              <w:ind w:left="116"/>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注册资金</w:t>
            </w:r>
          </w:p>
        </w:tc>
        <w:tc>
          <w:tcPr>
            <w:tcW w:w="2837" w:type="dxa"/>
            <w:gridSpan w:val="2"/>
            <w:vAlign w:val="top"/>
          </w:tcPr>
          <w:p w14:paraId="3BFE885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Merge w:val="continue"/>
            <w:tcBorders>
              <w:top w:val="nil"/>
              <w:bottom w:val="nil"/>
            </w:tcBorders>
            <w:vAlign w:val="top"/>
          </w:tcPr>
          <w:p w14:paraId="3C2E2AC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318D53F3">
            <w:pPr>
              <w:pStyle w:val="43"/>
              <w:keepNext w:val="0"/>
              <w:keepLines w:val="0"/>
              <w:pageBreakBefore w:val="0"/>
              <w:widowControl w:val="0"/>
              <w:kinsoku/>
              <w:wordWrap/>
              <w:overflowPunct/>
              <w:topLinePunct w:val="0"/>
              <w:autoSpaceDE/>
              <w:autoSpaceDN/>
              <w:bidi w:val="0"/>
              <w:adjustRightInd w:val="0"/>
              <w:snapToGrid w:val="0"/>
              <w:spacing w:before="45" w:line="400" w:lineRule="exact"/>
              <w:ind w:left="117" w:right="199" w:firstLine="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中级职称 人员</w:t>
            </w:r>
          </w:p>
        </w:tc>
        <w:tc>
          <w:tcPr>
            <w:tcW w:w="1768" w:type="dxa"/>
            <w:gridSpan w:val="2"/>
            <w:vAlign w:val="top"/>
          </w:tcPr>
          <w:p w14:paraId="40AD4E6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22E1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1364" w:type="dxa"/>
            <w:vAlign w:val="top"/>
          </w:tcPr>
          <w:p w14:paraId="294414D8">
            <w:pPr>
              <w:pStyle w:val="43"/>
              <w:keepNext w:val="0"/>
              <w:keepLines w:val="0"/>
              <w:pageBreakBefore w:val="0"/>
              <w:widowControl w:val="0"/>
              <w:kinsoku/>
              <w:wordWrap/>
              <w:overflowPunct/>
              <w:topLinePunct w:val="0"/>
              <w:autoSpaceDE/>
              <w:autoSpaceDN/>
              <w:bidi w:val="0"/>
              <w:adjustRightInd w:val="0"/>
              <w:snapToGrid w:val="0"/>
              <w:spacing w:before="266" w:line="400" w:lineRule="exact"/>
              <w:ind w:left="117"/>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开户银行</w:t>
            </w:r>
          </w:p>
        </w:tc>
        <w:tc>
          <w:tcPr>
            <w:tcW w:w="2837" w:type="dxa"/>
            <w:gridSpan w:val="2"/>
            <w:vAlign w:val="top"/>
          </w:tcPr>
          <w:p w14:paraId="07C1977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Merge w:val="continue"/>
            <w:tcBorders>
              <w:top w:val="nil"/>
              <w:bottom w:val="nil"/>
            </w:tcBorders>
            <w:vAlign w:val="top"/>
          </w:tcPr>
          <w:p w14:paraId="05D5CEF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40AE2471">
            <w:pPr>
              <w:pStyle w:val="43"/>
              <w:keepNext w:val="0"/>
              <w:keepLines w:val="0"/>
              <w:pageBreakBefore w:val="0"/>
              <w:widowControl w:val="0"/>
              <w:kinsoku/>
              <w:wordWrap/>
              <w:overflowPunct/>
              <w:topLinePunct w:val="0"/>
              <w:autoSpaceDE/>
              <w:autoSpaceDN/>
              <w:bidi w:val="0"/>
              <w:adjustRightInd w:val="0"/>
              <w:snapToGrid w:val="0"/>
              <w:spacing w:before="100" w:line="400" w:lineRule="exact"/>
              <w:ind w:left="116" w:right="199" w:hanging="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初级职称 人员</w:t>
            </w:r>
          </w:p>
        </w:tc>
        <w:tc>
          <w:tcPr>
            <w:tcW w:w="1768" w:type="dxa"/>
            <w:gridSpan w:val="2"/>
            <w:vAlign w:val="top"/>
          </w:tcPr>
          <w:p w14:paraId="4750DEA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9233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jc w:val="center"/>
        </w:trPr>
        <w:tc>
          <w:tcPr>
            <w:tcW w:w="1364" w:type="dxa"/>
            <w:vAlign w:val="top"/>
          </w:tcPr>
          <w:p w14:paraId="046EA7D8">
            <w:pPr>
              <w:pStyle w:val="43"/>
              <w:keepNext w:val="0"/>
              <w:keepLines w:val="0"/>
              <w:pageBreakBefore w:val="0"/>
              <w:widowControl w:val="0"/>
              <w:kinsoku/>
              <w:wordWrap/>
              <w:overflowPunct/>
              <w:topLinePunct w:val="0"/>
              <w:autoSpaceDE/>
              <w:autoSpaceDN/>
              <w:bidi w:val="0"/>
              <w:adjustRightInd w:val="0"/>
              <w:snapToGrid w:val="0"/>
              <w:spacing w:before="192" w:line="400" w:lineRule="exact"/>
              <w:ind w:left="120"/>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账号</w:t>
            </w:r>
          </w:p>
        </w:tc>
        <w:tc>
          <w:tcPr>
            <w:tcW w:w="2837" w:type="dxa"/>
            <w:gridSpan w:val="2"/>
            <w:vAlign w:val="top"/>
          </w:tcPr>
          <w:p w14:paraId="3D2244E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36" w:type="dxa"/>
            <w:vMerge w:val="continue"/>
            <w:tcBorders>
              <w:top w:val="nil"/>
            </w:tcBorders>
            <w:vAlign w:val="top"/>
          </w:tcPr>
          <w:p w14:paraId="0FF8BEA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71" w:type="dxa"/>
            <w:vAlign w:val="top"/>
          </w:tcPr>
          <w:p w14:paraId="7B7D5558">
            <w:pPr>
              <w:pStyle w:val="43"/>
              <w:keepNext w:val="0"/>
              <w:keepLines w:val="0"/>
              <w:pageBreakBefore w:val="0"/>
              <w:widowControl w:val="0"/>
              <w:kinsoku/>
              <w:wordWrap/>
              <w:overflowPunct/>
              <w:topLinePunct w:val="0"/>
              <w:autoSpaceDE/>
              <w:autoSpaceDN/>
              <w:bidi w:val="0"/>
              <w:adjustRightInd w:val="0"/>
              <w:snapToGrid w:val="0"/>
              <w:spacing w:before="192"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技工</w:t>
            </w:r>
          </w:p>
        </w:tc>
        <w:tc>
          <w:tcPr>
            <w:tcW w:w="1768" w:type="dxa"/>
            <w:gridSpan w:val="2"/>
            <w:vAlign w:val="top"/>
          </w:tcPr>
          <w:p w14:paraId="735B8F1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35E0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jc w:val="center"/>
        </w:trPr>
        <w:tc>
          <w:tcPr>
            <w:tcW w:w="1364" w:type="dxa"/>
            <w:vAlign w:val="top"/>
          </w:tcPr>
          <w:p w14:paraId="30DD8F03">
            <w:pPr>
              <w:pStyle w:val="43"/>
              <w:keepNext w:val="0"/>
              <w:keepLines w:val="0"/>
              <w:pageBreakBefore w:val="0"/>
              <w:widowControl w:val="0"/>
              <w:kinsoku/>
              <w:wordWrap/>
              <w:overflowPunct/>
              <w:topLinePunct w:val="0"/>
              <w:autoSpaceDE/>
              <w:autoSpaceDN/>
              <w:bidi w:val="0"/>
              <w:adjustRightInd w:val="0"/>
              <w:snapToGrid w:val="0"/>
              <w:spacing w:before="266" w:line="400" w:lineRule="exact"/>
              <w:ind w:left="117"/>
              <w:jc w:val="lef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经营范围备注</w:t>
            </w:r>
          </w:p>
        </w:tc>
        <w:tc>
          <w:tcPr>
            <w:tcW w:w="7212" w:type="dxa"/>
            <w:gridSpan w:val="6"/>
            <w:vAlign w:val="top"/>
          </w:tcPr>
          <w:p w14:paraId="44EA8CBD">
            <w:pPr>
              <w:pStyle w:val="43"/>
              <w:keepNext w:val="0"/>
              <w:keepLines w:val="0"/>
              <w:pageBreakBefore w:val="0"/>
              <w:widowControl w:val="0"/>
              <w:kinsoku/>
              <w:wordWrap/>
              <w:overflowPunct/>
              <w:topLinePunct w:val="0"/>
              <w:autoSpaceDE/>
              <w:autoSpaceDN/>
              <w:bidi w:val="0"/>
              <w:adjustRightInd w:val="0"/>
              <w:snapToGrid w:val="0"/>
              <w:spacing w:before="266" w:line="400" w:lineRule="exact"/>
              <w:ind w:left="11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50DEB5D7">
      <w:pPr>
        <w:keepNext w:val="0"/>
        <w:keepLines w:val="0"/>
        <w:pageBreakBefore w:val="0"/>
        <w:widowControl w:val="0"/>
        <w:kinsoku/>
        <w:wordWrap/>
        <w:overflowPunct/>
        <w:topLinePunct w:val="0"/>
        <w:autoSpaceDE/>
        <w:autoSpaceDN/>
        <w:bidi w:val="0"/>
        <w:adjustRightInd w:val="0"/>
        <w:snapToGrid w:val="0"/>
        <w:spacing w:before="45" w:line="400" w:lineRule="exact"/>
        <w:ind w:left="1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附营业执照、资质证书、认证体系证书等相关打分资料。（如为联合体投标，所有成员单位均应附此表）</w:t>
      </w:r>
    </w:p>
    <w:p w14:paraId="5E69E32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8" w:type="default"/>
          <w:pgSz w:w="11850" w:h="16783"/>
          <w:pgMar w:top="1134" w:right="1134" w:bottom="1134" w:left="1134" w:header="0" w:footer="992" w:gutter="0"/>
          <w:pgNumType w:fmt="decimal"/>
          <w:cols w:space="720" w:num="1"/>
        </w:sectPr>
      </w:pPr>
    </w:p>
    <w:p w14:paraId="0903A953">
      <w:pPr>
        <w:keepNext w:val="0"/>
        <w:keepLines w:val="0"/>
        <w:widowControl/>
        <w:suppressLineNumbers w:val="0"/>
        <w:jc w:val="center"/>
        <w:rPr>
          <w:color w:val="000000" w:themeColor="text1"/>
          <w:highlight w:val="none"/>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 xml:space="preserve">表2 </w:t>
      </w:r>
      <w:r>
        <w:rPr>
          <w:rFonts w:hint="eastAsia" w:ascii="宋体" w:hAnsi="宋体" w:eastAsia="宋体" w:cs="宋体"/>
          <w:snapToGrid w:val="0"/>
          <w:color w:val="000000" w:themeColor="text1"/>
          <w:kern w:val="0"/>
          <w:sz w:val="28"/>
          <w:szCs w:val="28"/>
          <w:highlight w:val="none"/>
          <w:lang w:val="en-US" w:eastAsia="zh-CN" w:bidi="ar"/>
          <w14:textFill>
            <w14:solidFill>
              <w14:schemeClr w14:val="tx1"/>
            </w14:solidFill>
          </w14:textFill>
        </w:rPr>
        <w:t>□</w:t>
      </w: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近年财务状况表</w:t>
      </w:r>
    </w:p>
    <w:p w14:paraId="4EC6FC41">
      <w:pPr>
        <w:keepNext w:val="0"/>
        <w:keepLines w:val="0"/>
        <w:widowControl/>
        <w:suppressLineNumbers w:val="0"/>
        <w:jc w:val="center"/>
        <w:rPr>
          <w:color w:val="000000" w:themeColor="text1"/>
          <w:highlight w:val="none"/>
          <w14:textFill>
            <w14:solidFill>
              <w14:schemeClr w14:val="tx1"/>
            </w14:solidFill>
          </w14:textFill>
        </w:rPr>
      </w:pPr>
      <w:r>
        <w:rPr>
          <w:rFonts w:hint="eastAsia" w:ascii="宋体" w:hAnsi="宋体" w:eastAsia="宋体" w:cs="宋体"/>
          <w:snapToGrid w:val="0"/>
          <w:color w:val="000000" w:themeColor="text1"/>
          <w:kern w:val="0"/>
          <w:sz w:val="24"/>
          <w:szCs w:val="24"/>
          <w:highlight w:val="none"/>
          <w:lang w:val="en-US" w:eastAsia="zh-CN" w:bidi="ar"/>
          <w14:textFill>
            <w14:solidFill>
              <w14:schemeClr w14:val="tx1"/>
            </w14:solidFill>
          </w14:textFill>
        </w:rPr>
        <w:t>（格式招标人自拟或者由投标人自拟）</w:t>
      </w:r>
    </w:p>
    <w:p w14:paraId="0D359F7B">
      <w:pPr>
        <w:jc w:val="center"/>
        <w:rPr>
          <w:rFonts w:hint="default"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br w:type="page"/>
      </w:r>
    </w:p>
    <w:p w14:paraId="5972AD80">
      <w:pPr>
        <w:jc w:val="center"/>
        <w:rPr>
          <w:color w:val="000000" w:themeColor="text1"/>
          <w:sz w:val="28"/>
          <w:szCs w:val="28"/>
          <w:highlight w:val="none"/>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 xml:space="preserve">表3 </w:t>
      </w:r>
      <w:r>
        <w:rPr>
          <w:rFonts w:hint="eastAsia" w:ascii="宋体" w:hAnsi="宋体" w:eastAsia="宋体" w:cs="宋体"/>
          <w:snapToGrid w:val="0"/>
          <w:color w:val="000000" w:themeColor="text1"/>
          <w:kern w:val="0"/>
          <w:sz w:val="28"/>
          <w:szCs w:val="28"/>
          <w:highlight w:val="none"/>
          <w:lang w:val="en-US" w:eastAsia="zh-CN" w:bidi="ar"/>
          <w14:textFill>
            <w14:solidFill>
              <w14:schemeClr w14:val="tx1"/>
            </w14:solidFill>
          </w14:textFill>
        </w:rPr>
        <w:t>☑</w:t>
      </w: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业绩汇总表（评分业绩条件的汇总）</w:t>
      </w:r>
    </w:p>
    <w:p w14:paraId="4372CC4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bl>
      <w:tblPr>
        <w:tblStyle w:val="60"/>
        <w:tblW w:w="9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4"/>
        <w:gridCol w:w="1366"/>
        <w:gridCol w:w="1207"/>
        <w:gridCol w:w="1226"/>
        <w:gridCol w:w="1635"/>
        <w:gridCol w:w="1167"/>
        <w:gridCol w:w="1287"/>
        <w:gridCol w:w="1287"/>
      </w:tblGrid>
      <w:tr w14:paraId="69266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3" w:hRule="atLeast"/>
          <w:jc w:val="center"/>
        </w:trPr>
        <w:tc>
          <w:tcPr>
            <w:tcW w:w="664" w:type="dxa"/>
            <w:tcBorders>
              <w:top w:val="single" w:color="000000" w:sz="10" w:space="0"/>
              <w:left w:val="single" w:color="000000" w:sz="10" w:space="0"/>
            </w:tcBorders>
            <w:vAlign w:val="top"/>
          </w:tcPr>
          <w:p w14:paraId="0E100A0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8E38B8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F6D804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065F085">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8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序号</w:t>
            </w:r>
          </w:p>
        </w:tc>
        <w:tc>
          <w:tcPr>
            <w:tcW w:w="1366" w:type="dxa"/>
            <w:tcBorders>
              <w:top w:val="single" w:color="000000" w:sz="10" w:space="0"/>
            </w:tcBorders>
            <w:vAlign w:val="top"/>
          </w:tcPr>
          <w:p w14:paraId="72A91EE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DE445A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A9B433D">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439" w:right="85" w:hanging="35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该业绩证明 对象</w:t>
            </w:r>
          </w:p>
        </w:tc>
        <w:tc>
          <w:tcPr>
            <w:tcW w:w="1207" w:type="dxa"/>
            <w:tcBorders>
              <w:top w:val="single" w:color="000000" w:sz="10" w:space="0"/>
            </w:tcBorders>
            <w:vAlign w:val="top"/>
          </w:tcPr>
          <w:p w14:paraId="69002F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C81192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6461A7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1322FA6">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项目名称</w:t>
            </w:r>
          </w:p>
        </w:tc>
        <w:tc>
          <w:tcPr>
            <w:tcW w:w="1226" w:type="dxa"/>
            <w:tcBorders>
              <w:top w:val="single" w:color="000000" w:sz="10" w:space="0"/>
            </w:tcBorders>
            <w:vAlign w:val="top"/>
          </w:tcPr>
          <w:p w14:paraId="610E0B2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CCD406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8219EDB">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6" w:firstLine="11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建设单位  （项目业主）</w:t>
            </w:r>
          </w:p>
        </w:tc>
        <w:tc>
          <w:tcPr>
            <w:tcW w:w="1635" w:type="dxa"/>
            <w:tcBorders>
              <w:top w:val="single" w:color="000000" w:sz="10" w:space="0"/>
            </w:tcBorders>
            <w:vAlign w:val="top"/>
          </w:tcPr>
          <w:p w14:paraId="186AA5D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CAC5063">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0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与评审有关的</w:t>
            </w:r>
          </w:p>
          <w:p w14:paraId="51E14418">
            <w:pPr>
              <w:pStyle w:val="43"/>
              <w:keepNext w:val="0"/>
              <w:keepLines w:val="0"/>
              <w:pageBreakBefore w:val="0"/>
              <w:widowControl w:val="0"/>
              <w:kinsoku/>
              <w:wordWrap/>
              <w:overflowPunct/>
              <w:topLinePunct w:val="0"/>
              <w:autoSpaceDE/>
              <w:autoSpaceDN/>
              <w:bidi w:val="0"/>
              <w:adjustRightInd w:val="0"/>
              <w:snapToGrid w:val="0"/>
              <w:spacing w:before="33"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时间、规模、技</w:t>
            </w:r>
          </w:p>
          <w:p w14:paraId="38DCF6A7">
            <w:pPr>
              <w:pStyle w:val="43"/>
              <w:keepNext w:val="0"/>
              <w:keepLines w:val="0"/>
              <w:pageBreakBefore w:val="0"/>
              <w:widowControl w:val="0"/>
              <w:kinsoku/>
              <w:wordWrap/>
              <w:overflowPunct/>
              <w:topLinePunct w:val="0"/>
              <w:autoSpaceDE/>
              <w:autoSpaceDN/>
              <w:bidi w:val="0"/>
              <w:adjustRightInd w:val="0"/>
              <w:snapToGrid w:val="0"/>
              <w:spacing w:before="34" w:line="400" w:lineRule="exact"/>
              <w:ind w:left="10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术指标及其他</w:t>
            </w:r>
          </w:p>
          <w:p w14:paraId="21621C2C">
            <w:pPr>
              <w:pStyle w:val="43"/>
              <w:keepNext w:val="0"/>
              <w:keepLines w:val="0"/>
              <w:pageBreakBefore w:val="0"/>
              <w:widowControl w:val="0"/>
              <w:kinsoku/>
              <w:wordWrap/>
              <w:overflowPunct/>
              <w:topLinePunct w:val="0"/>
              <w:autoSpaceDE/>
              <w:autoSpaceDN/>
              <w:bidi w:val="0"/>
              <w:adjustRightInd w:val="0"/>
              <w:snapToGrid w:val="0"/>
              <w:spacing w:before="36" w:line="400" w:lineRule="exact"/>
              <w:ind w:left="58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要求</w:t>
            </w:r>
          </w:p>
        </w:tc>
        <w:tc>
          <w:tcPr>
            <w:tcW w:w="1167" w:type="dxa"/>
            <w:tcBorders>
              <w:top w:val="single" w:color="000000" w:sz="10" w:space="0"/>
            </w:tcBorders>
            <w:vAlign w:val="top"/>
          </w:tcPr>
          <w:p w14:paraId="4D4887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33ADCC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D044DFE">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15" w:right="9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提交证明 材料内容</w:t>
            </w:r>
          </w:p>
        </w:tc>
        <w:tc>
          <w:tcPr>
            <w:tcW w:w="1287" w:type="dxa"/>
            <w:tcBorders>
              <w:top w:val="single" w:color="000000" w:sz="10" w:space="0"/>
              <w:right w:val="single" w:color="000000" w:sz="10" w:space="0"/>
            </w:tcBorders>
            <w:vAlign w:val="top"/>
          </w:tcPr>
          <w:p w14:paraId="37A3A22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E3192C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24D9A99">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97" w:right="40" w:hanging="2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在投标文件 的位置</w:t>
            </w:r>
          </w:p>
        </w:tc>
        <w:tc>
          <w:tcPr>
            <w:tcW w:w="1287" w:type="dxa"/>
            <w:tcBorders>
              <w:top w:val="single" w:color="000000" w:sz="10" w:space="0"/>
              <w:right w:val="single" w:color="000000" w:sz="10" w:space="0"/>
            </w:tcBorders>
            <w:vAlign w:val="top"/>
          </w:tcPr>
          <w:p w14:paraId="7E97AF5F">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97" w:right="40" w:hanging="2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B2C566E">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97" w:right="40" w:hanging="2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F0CDAEB">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97" w:right="40" w:hanging="260"/>
              <w:jc w:val="center"/>
              <w:textAlignment w:val="auto"/>
              <w:outlineLvl w:val="9"/>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自评分</w:t>
            </w:r>
          </w:p>
        </w:tc>
      </w:tr>
      <w:tr w14:paraId="20415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atLeast"/>
          <w:jc w:val="center"/>
        </w:trPr>
        <w:tc>
          <w:tcPr>
            <w:tcW w:w="664" w:type="dxa"/>
            <w:tcBorders>
              <w:left w:val="single" w:color="000000" w:sz="10" w:space="0"/>
            </w:tcBorders>
            <w:vAlign w:val="top"/>
          </w:tcPr>
          <w:p w14:paraId="06AD03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50F56A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34656CF">
            <w:pPr>
              <w:pStyle w:val="43"/>
              <w:keepNext w:val="0"/>
              <w:keepLines w:val="0"/>
              <w:pageBreakBefore w:val="0"/>
              <w:widowControl w:val="0"/>
              <w:kinsoku/>
              <w:wordWrap/>
              <w:overflowPunct/>
              <w:topLinePunct w:val="0"/>
              <w:autoSpaceDE/>
              <w:autoSpaceDN/>
              <w:bidi w:val="0"/>
              <w:adjustRightInd w:val="0"/>
              <w:snapToGrid w:val="0"/>
              <w:spacing w:before="82" w:line="400" w:lineRule="exact"/>
              <w:ind w:left="28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p>
        </w:tc>
        <w:tc>
          <w:tcPr>
            <w:tcW w:w="1366" w:type="dxa"/>
            <w:vAlign w:val="top"/>
          </w:tcPr>
          <w:p w14:paraId="76CD743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B69FAC0">
            <w:pPr>
              <w:pStyle w:val="43"/>
              <w:keepNext w:val="0"/>
              <w:keepLines w:val="0"/>
              <w:pageBreakBefore w:val="0"/>
              <w:widowControl w:val="0"/>
              <w:kinsoku/>
              <w:wordWrap/>
              <w:overflowPunct/>
              <w:topLinePunct w:val="0"/>
              <w:autoSpaceDE/>
              <w:autoSpaceDN/>
              <w:bidi w:val="0"/>
              <w:adjustRightInd w:val="0"/>
              <w:snapToGrid w:val="0"/>
              <w:spacing w:before="81" w:line="400" w:lineRule="exact"/>
              <w:ind w:left="74" w:hanging="7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例如：企业名 称或项目负 责人名字等</w:t>
            </w:r>
          </w:p>
        </w:tc>
        <w:tc>
          <w:tcPr>
            <w:tcW w:w="1207" w:type="dxa"/>
            <w:vAlign w:val="top"/>
          </w:tcPr>
          <w:p w14:paraId="5CE5E1F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836476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F8F59CD">
            <w:pPr>
              <w:pStyle w:val="43"/>
              <w:keepNext w:val="0"/>
              <w:keepLines w:val="0"/>
              <w:pageBreakBefore w:val="0"/>
              <w:widowControl w:val="0"/>
              <w:kinsoku/>
              <w:wordWrap/>
              <w:overflowPunct/>
              <w:topLinePunct w:val="0"/>
              <w:autoSpaceDE/>
              <w:autoSpaceDN/>
              <w:bidi w:val="0"/>
              <w:adjustRightInd w:val="0"/>
              <w:snapToGrid w:val="0"/>
              <w:spacing w:before="81" w:line="400" w:lineRule="exact"/>
              <w:ind w:left="337" w:hanging="33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例如：XX工 程等</w:t>
            </w:r>
          </w:p>
        </w:tc>
        <w:tc>
          <w:tcPr>
            <w:tcW w:w="1226" w:type="dxa"/>
            <w:vAlign w:val="top"/>
          </w:tcPr>
          <w:p w14:paraId="03A489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3DE55F">
            <w:pPr>
              <w:pStyle w:val="43"/>
              <w:keepNext w:val="0"/>
              <w:keepLines w:val="0"/>
              <w:pageBreakBefore w:val="0"/>
              <w:widowControl w:val="0"/>
              <w:kinsoku/>
              <w:wordWrap/>
              <w:overflowPunct/>
              <w:topLinePunct w:val="0"/>
              <w:autoSpaceDE/>
              <w:autoSpaceDN/>
              <w:bidi w:val="0"/>
              <w:adjustRightInd w:val="0"/>
              <w:snapToGrid w:val="0"/>
              <w:spacing w:before="81"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例如：XX公</w:t>
            </w:r>
          </w:p>
          <w:p w14:paraId="2491B3D0">
            <w:pPr>
              <w:pStyle w:val="43"/>
              <w:keepNext w:val="0"/>
              <w:keepLines w:val="0"/>
              <w:pageBreakBefore w:val="0"/>
              <w:widowControl w:val="0"/>
              <w:kinsoku/>
              <w:wordWrap/>
              <w:overflowPunct/>
              <w:topLinePunct w:val="0"/>
              <w:autoSpaceDE/>
              <w:autoSpaceDN/>
              <w:bidi w:val="0"/>
              <w:adjustRightInd w:val="0"/>
              <w:snapToGrid w:val="0"/>
              <w:spacing w:before="33"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司或指挥部</w:t>
            </w:r>
          </w:p>
          <w:p w14:paraId="43EB8474">
            <w:pPr>
              <w:pStyle w:val="43"/>
              <w:keepNext w:val="0"/>
              <w:keepLines w:val="0"/>
              <w:pageBreakBefore w:val="0"/>
              <w:widowControl w:val="0"/>
              <w:kinsoku/>
              <w:wordWrap/>
              <w:overflowPunct/>
              <w:topLinePunct w:val="0"/>
              <w:autoSpaceDE/>
              <w:autoSpaceDN/>
              <w:bidi w:val="0"/>
              <w:adjustRightInd w:val="0"/>
              <w:snapToGrid w:val="0"/>
              <w:spacing w:before="32" w:line="400" w:lineRule="exact"/>
              <w:ind w:left="48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等</w:t>
            </w:r>
          </w:p>
        </w:tc>
        <w:tc>
          <w:tcPr>
            <w:tcW w:w="1635" w:type="dxa"/>
            <w:vAlign w:val="top"/>
          </w:tcPr>
          <w:p w14:paraId="18B1748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8D953A1">
            <w:pPr>
              <w:pStyle w:val="43"/>
              <w:keepNext w:val="0"/>
              <w:keepLines w:val="0"/>
              <w:pageBreakBefore w:val="0"/>
              <w:widowControl w:val="0"/>
              <w:kinsoku/>
              <w:wordWrap/>
              <w:overflowPunct/>
              <w:topLinePunct w:val="0"/>
              <w:autoSpaceDE/>
              <w:autoSpaceDN/>
              <w:bidi w:val="0"/>
              <w:adjustRightInd w:val="0"/>
              <w:snapToGrid w:val="0"/>
              <w:spacing w:before="82"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例如：X年X月X</w:t>
            </w:r>
          </w:p>
          <w:p w14:paraId="2A05DBA8">
            <w:pPr>
              <w:pStyle w:val="43"/>
              <w:keepNext w:val="0"/>
              <w:keepLines w:val="0"/>
              <w:pageBreakBefore w:val="0"/>
              <w:widowControl w:val="0"/>
              <w:kinsoku/>
              <w:wordWrap/>
              <w:overflowPunct/>
              <w:topLinePunct w:val="0"/>
              <w:autoSpaceDE/>
              <w:autoSpaceDN/>
              <w:bidi w:val="0"/>
              <w:adjustRightInd w:val="0"/>
              <w:snapToGrid w:val="0"/>
              <w:spacing w:before="34"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日完成，长度或</w:t>
            </w:r>
          </w:p>
          <w:p w14:paraId="6252224E">
            <w:pPr>
              <w:pStyle w:val="43"/>
              <w:keepNext w:val="0"/>
              <w:keepLines w:val="0"/>
              <w:pageBreakBefore w:val="0"/>
              <w:widowControl w:val="0"/>
              <w:kinsoku/>
              <w:wordWrap/>
              <w:overflowPunct/>
              <w:topLinePunct w:val="0"/>
              <w:autoSpaceDE/>
              <w:autoSpaceDN/>
              <w:bidi w:val="0"/>
              <w:adjustRightInd w:val="0"/>
              <w:snapToGrid w:val="0"/>
              <w:spacing w:before="32" w:line="400" w:lineRule="exact"/>
              <w:ind w:left="27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深度X米等</w:t>
            </w:r>
          </w:p>
        </w:tc>
        <w:tc>
          <w:tcPr>
            <w:tcW w:w="1167" w:type="dxa"/>
            <w:vAlign w:val="top"/>
          </w:tcPr>
          <w:p w14:paraId="41F771E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FB83229">
            <w:pPr>
              <w:pStyle w:val="43"/>
              <w:keepNext w:val="0"/>
              <w:keepLines w:val="0"/>
              <w:pageBreakBefore w:val="0"/>
              <w:widowControl w:val="0"/>
              <w:kinsoku/>
              <w:wordWrap/>
              <w:overflowPunct/>
              <w:topLinePunct w:val="0"/>
              <w:autoSpaceDE/>
              <w:autoSpaceDN/>
              <w:bidi w:val="0"/>
              <w:adjustRightInd w:val="0"/>
              <w:snapToGrid w:val="0"/>
              <w:spacing w:before="81"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例如：合同</w:t>
            </w:r>
          </w:p>
          <w:p w14:paraId="584C0610">
            <w:pPr>
              <w:pStyle w:val="43"/>
              <w:keepNext w:val="0"/>
              <w:keepLines w:val="0"/>
              <w:pageBreakBefore w:val="0"/>
              <w:widowControl w:val="0"/>
              <w:kinsoku/>
              <w:wordWrap/>
              <w:overflowPunct/>
              <w:topLinePunct w:val="0"/>
              <w:autoSpaceDE/>
              <w:autoSpaceDN/>
              <w:bidi w:val="0"/>
              <w:adjustRightInd w:val="0"/>
              <w:snapToGrid w:val="0"/>
              <w:spacing w:before="33" w:line="400" w:lineRule="exact"/>
              <w:ind w:right="1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或施工许</w:t>
            </w:r>
          </w:p>
          <w:p w14:paraId="6FCEE1B2">
            <w:pPr>
              <w:pStyle w:val="43"/>
              <w:keepNext w:val="0"/>
              <w:keepLines w:val="0"/>
              <w:pageBreakBefore w:val="0"/>
              <w:widowControl w:val="0"/>
              <w:kinsoku/>
              <w:wordWrap/>
              <w:overflowPunct/>
              <w:topLinePunct w:val="0"/>
              <w:autoSpaceDE/>
              <w:autoSpaceDN/>
              <w:bidi w:val="0"/>
              <w:adjustRightInd w:val="0"/>
              <w:snapToGrid w:val="0"/>
              <w:spacing w:before="31" w:line="400" w:lineRule="exact"/>
              <w:ind w:left="22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可证等</w:t>
            </w:r>
          </w:p>
        </w:tc>
        <w:tc>
          <w:tcPr>
            <w:tcW w:w="1287" w:type="dxa"/>
            <w:tcBorders>
              <w:right w:val="single" w:color="000000" w:sz="10" w:space="0"/>
            </w:tcBorders>
            <w:vAlign w:val="top"/>
          </w:tcPr>
          <w:p w14:paraId="0901A19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C5C0398">
            <w:pPr>
              <w:pStyle w:val="43"/>
              <w:keepNext w:val="0"/>
              <w:keepLines w:val="0"/>
              <w:pageBreakBefore w:val="0"/>
              <w:widowControl w:val="0"/>
              <w:kinsoku/>
              <w:wordWrap/>
              <w:overflowPunct/>
              <w:topLinePunct w:val="0"/>
              <w:autoSpaceDE/>
              <w:autoSpaceDN/>
              <w:bidi w:val="0"/>
              <w:adjustRightInd w:val="0"/>
              <w:snapToGrid w:val="0"/>
              <w:spacing w:before="81" w:line="400" w:lineRule="exact"/>
              <w:ind w:left="87" w:hanging="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例如：投标 文件第X页</w:t>
            </w:r>
          </w:p>
        </w:tc>
        <w:tc>
          <w:tcPr>
            <w:tcW w:w="1287" w:type="dxa"/>
            <w:tcBorders>
              <w:right w:val="single" w:color="000000" w:sz="10" w:space="0"/>
            </w:tcBorders>
            <w:vAlign w:val="top"/>
          </w:tcPr>
          <w:p w14:paraId="4F7B5287">
            <w:pPr>
              <w:pStyle w:val="43"/>
              <w:keepNext w:val="0"/>
              <w:keepLines w:val="0"/>
              <w:pageBreakBefore w:val="0"/>
              <w:widowControl w:val="0"/>
              <w:kinsoku/>
              <w:wordWrap/>
              <w:overflowPunct/>
              <w:topLinePunct w:val="0"/>
              <w:autoSpaceDE/>
              <w:autoSpaceDN/>
              <w:bidi w:val="0"/>
              <w:adjustRightInd w:val="0"/>
              <w:snapToGrid w:val="0"/>
              <w:spacing w:before="81" w:line="400" w:lineRule="exact"/>
              <w:ind w:left="87" w:hanging="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B876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jc w:val="center"/>
        </w:trPr>
        <w:tc>
          <w:tcPr>
            <w:tcW w:w="664" w:type="dxa"/>
            <w:tcBorders>
              <w:left w:val="single" w:color="000000" w:sz="10" w:space="0"/>
            </w:tcBorders>
            <w:vAlign w:val="top"/>
          </w:tcPr>
          <w:p w14:paraId="0BCB590A">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27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p>
        </w:tc>
        <w:tc>
          <w:tcPr>
            <w:tcW w:w="1366" w:type="dxa"/>
            <w:vAlign w:val="top"/>
          </w:tcPr>
          <w:p w14:paraId="2C84C7F9">
            <w:pPr>
              <w:pStyle w:val="43"/>
              <w:keepNext w:val="0"/>
              <w:keepLines w:val="0"/>
              <w:pageBreakBefore w:val="0"/>
              <w:widowControl w:val="0"/>
              <w:kinsoku/>
              <w:wordWrap/>
              <w:overflowPunct/>
              <w:topLinePunct w:val="0"/>
              <w:autoSpaceDE/>
              <w:autoSpaceDN/>
              <w:bidi w:val="0"/>
              <w:adjustRightInd w:val="0"/>
              <w:snapToGrid w:val="0"/>
              <w:spacing w:before="287" w:line="400" w:lineRule="exact"/>
              <w:ind w:left="45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3"/>
                <w:sz w:val="21"/>
                <w:szCs w:val="21"/>
                <w:highlight w:val="none"/>
                <w14:textFill>
                  <w14:solidFill>
                    <w14:schemeClr w14:val="tx1"/>
                  </w14:solidFill>
                </w14:textFill>
              </w:rPr>
              <w:t>……</w:t>
            </w:r>
          </w:p>
        </w:tc>
        <w:tc>
          <w:tcPr>
            <w:tcW w:w="1207" w:type="dxa"/>
            <w:vAlign w:val="top"/>
          </w:tcPr>
          <w:p w14:paraId="28D540E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26" w:type="dxa"/>
            <w:vAlign w:val="top"/>
          </w:tcPr>
          <w:p w14:paraId="4216096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35" w:type="dxa"/>
            <w:vAlign w:val="top"/>
          </w:tcPr>
          <w:p w14:paraId="0E37523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67" w:type="dxa"/>
            <w:vAlign w:val="top"/>
          </w:tcPr>
          <w:p w14:paraId="296A422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7" w:type="dxa"/>
            <w:tcBorders>
              <w:right w:val="single" w:color="000000" w:sz="10" w:space="0"/>
            </w:tcBorders>
            <w:vAlign w:val="top"/>
          </w:tcPr>
          <w:p w14:paraId="10509F4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7" w:type="dxa"/>
            <w:tcBorders>
              <w:right w:val="single" w:color="000000" w:sz="10" w:space="0"/>
            </w:tcBorders>
            <w:vAlign w:val="top"/>
          </w:tcPr>
          <w:p w14:paraId="0D2D1B8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B866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jc w:val="center"/>
        </w:trPr>
        <w:tc>
          <w:tcPr>
            <w:tcW w:w="664" w:type="dxa"/>
            <w:tcBorders>
              <w:left w:val="single" w:color="000000" w:sz="10" w:space="0"/>
              <w:bottom w:val="single" w:color="000000" w:sz="10" w:space="0"/>
            </w:tcBorders>
            <w:vAlign w:val="top"/>
          </w:tcPr>
          <w:p w14:paraId="27C0C3F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366" w:type="dxa"/>
            <w:tcBorders>
              <w:bottom w:val="single" w:color="000000" w:sz="10" w:space="0"/>
            </w:tcBorders>
            <w:vAlign w:val="top"/>
          </w:tcPr>
          <w:p w14:paraId="05F357A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07" w:type="dxa"/>
            <w:tcBorders>
              <w:bottom w:val="single" w:color="000000" w:sz="10" w:space="0"/>
            </w:tcBorders>
            <w:vAlign w:val="top"/>
          </w:tcPr>
          <w:p w14:paraId="0B4D46F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26" w:type="dxa"/>
            <w:tcBorders>
              <w:bottom w:val="single" w:color="000000" w:sz="10" w:space="0"/>
            </w:tcBorders>
            <w:vAlign w:val="top"/>
          </w:tcPr>
          <w:p w14:paraId="5AC67CA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635" w:type="dxa"/>
            <w:tcBorders>
              <w:bottom w:val="single" w:color="000000" w:sz="10" w:space="0"/>
            </w:tcBorders>
            <w:vAlign w:val="top"/>
          </w:tcPr>
          <w:p w14:paraId="7CEC041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167" w:type="dxa"/>
            <w:tcBorders>
              <w:bottom w:val="single" w:color="000000" w:sz="10" w:space="0"/>
            </w:tcBorders>
            <w:vAlign w:val="top"/>
          </w:tcPr>
          <w:p w14:paraId="4005E2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7" w:type="dxa"/>
            <w:tcBorders>
              <w:bottom w:val="single" w:color="000000" w:sz="10" w:space="0"/>
              <w:right w:val="single" w:color="000000" w:sz="10" w:space="0"/>
            </w:tcBorders>
            <w:vAlign w:val="top"/>
          </w:tcPr>
          <w:p w14:paraId="0CDE4AD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287" w:type="dxa"/>
            <w:tcBorders>
              <w:bottom w:val="single" w:color="000000" w:sz="10" w:space="0"/>
              <w:right w:val="single" w:color="000000" w:sz="10" w:space="0"/>
            </w:tcBorders>
            <w:vAlign w:val="top"/>
          </w:tcPr>
          <w:p w14:paraId="036A89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0A011A0E">
      <w:pPr>
        <w:keepNext w:val="0"/>
        <w:keepLines w:val="0"/>
        <w:pageBreakBefore w:val="0"/>
        <w:widowControl w:val="0"/>
        <w:kinsoku/>
        <w:wordWrap/>
        <w:overflowPunct/>
        <w:topLinePunct w:val="0"/>
        <w:autoSpaceDE/>
        <w:autoSpaceDN/>
        <w:bidi w:val="0"/>
        <w:adjustRightInd w:val="0"/>
        <w:snapToGrid w:val="0"/>
        <w:spacing w:before="141" w:line="400" w:lineRule="exact"/>
        <w:ind w:left="38"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注：填写此表时应附上相关附件，不录入此表的不作为评审依据。</w:t>
      </w:r>
    </w:p>
    <w:p w14:paraId="3A9B22A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19" w:type="default"/>
          <w:pgSz w:w="11850" w:h="16783"/>
          <w:pgMar w:top="1134" w:right="1134" w:bottom="1134" w:left="1134" w:header="0" w:footer="992" w:gutter="0"/>
          <w:pgNumType w:fmt="decimal"/>
          <w:cols w:space="720" w:num="1"/>
        </w:sectPr>
      </w:pPr>
    </w:p>
    <w:p w14:paraId="5EDC23D6">
      <w:pPr>
        <w:keepNext w:val="0"/>
        <w:keepLines w:val="0"/>
        <w:widowControl/>
        <w:suppressLineNumbers w:val="0"/>
        <w:jc w:val="center"/>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 xml:space="preserve">表4 </w:t>
      </w:r>
      <w:r>
        <w:rPr>
          <w:rFonts w:hint="eastAsia" w:ascii="宋体" w:hAnsi="宋体" w:cs="宋体"/>
          <w:snapToGrid w:val="0"/>
          <w:color w:val="000000" w:themeColor="text1"/>
          <w:kern w:val="0"/>
          <w:sz w:val="28"/>
          <w:szCs w:val="28"/>
          <w:highlight w:val="none"/>
          <w:lang w:val="en-US" w:eastAsia="zh-CN" w:bidi="ar"/>
          <w14:textFill>
            <w14:solidFill>
              <w14:schemeClr w14:val="tx1"/>
            </w14:solidFill>
          </w14:textFill>
        </w:rPr>
        <w:t>□</w:t>
      </w: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项目管理班子配备情况表</w:t>
      </w:r>
      <w:r>
        <w:rPr>
          <w:rFonts w:hint="eastAsia" w:ascii="宋体" w:hAnsi="宋体" w:eastAsia="宋体" w:cs="宋体"/>
          <w:b/>
          <w:bCs/>
          <w:i w:val="0"/>
          <w:iCs w:val="0"/>
          <w:snapToGrid w:val="0"/>
          <w:color w:val="000000" w:themeColor="text1"/>
          <w:kern w:val="0"/>
          <w:sz w:val="28"/>
          <w:szCs w:val="28"/>
          <w:highlight w:val="none"/>
          <w:lang w:val="en-US" w:eastAsia="zh-CN" w:bidi="ar"/>
          <w14:textFill>
            <w14:solidFill>
              <w14:schemeClr w14:val="tx1"/>
            </w14:solidFill>
          </w14:textFill>
        </w:rPr>
        <w:t>（可根据评审因素设置）</w:t>
      </w:r>
    </w:p>
    <w:p w14:paraId="1B4679F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项目名称：</w:t>
      </w:r>
    </w:p>
    <w:tbl>
      <w:tblPr>
        <w:tblStyle w:val="60"/>
        <w:tblW w:w="8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720"/>
        <w:gridCol w:w="720"/>
        <w:gridCol w:w="887"/>
        <w:gridCol w:w="887"/>
        <w:gridCol w:w="888"/>
        <w:gridCol w:w="887"/>
        <w:gridCol w:w="1084"/>
        <w:gridCol w:w="870"/>
        <w:gridCol w:w="1044"/>
      </w:tblGrid>
      <w:tr w14:paraId="090EB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652" w:type="dxa"/>
            <w:vMerge w:val="restart"/>
            <w:tcBorders>
              <w:bottom w:val="nil"/>
            </w:tcBorders>
            <w:textDirection w:val="tbRlV"/>
            <w:vAlign w:val="top"/>
          </w:tcPr>
          <w:p w14:paraId="146C2179">
            <w:pPr>
              <w:pStyle w:val="43"/>
              <w:keepNext w:val="0"/>
              <w:keepLines w:val="0"/>
              <w:pageBreakBefore w:val="0"/>
              <w:widowControl w:val="0"/>
              <w:kinsoku/>
              <w:wordWrap/>
              <w:overflowPunct/>
              <w:topLinePunct w:val="0"/>
              <w:autoSpaceDE/>
              <w:autoSpaceDN/>
              <w:bidi w:val="0"/>
              <w:adjustRightInd w:val="0"/>
              <w:snapToGrid w:val="0"/>
              <w:spacing w:before="202" w:line="400" w:lineRule="exact"/>
              <w:ind w:left="3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 务</w:t>
            </w:r>
          </w:p>
        </w:tc>
        <w:tc>
          <w:tcPr>
            <w:tcW w:w="720" w:type="dxa"/>
            <w:vMerge w:val="restart"/>
            <w:tcBorders>
              <w:bottom w:val="nil"/>
            </w:tcBorders>
            <w:vAlign w:val="top"/>
          </w:tcPr>
          <w:p w14:paraId="2602EA1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BCDCEE7">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姓名</w:t>
            </w:r>
          </w:p>
        </w:tc>
        <w:tc>
          <w:tcPr>
            <w:tcW w:w="720" w:type="dxa"/>
            <w:vMerge w:val="restart"/>
            <w:tcBorders>
              <w:bottom w:val="nil"/>
            </w:tcBorders>
            <w:vAlign w:val="top"/>
          </w:tcPr>
          <w:p w14:paraId="675B650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9AFB73A">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职称</w:t>
            </w:r>
          </w:p>
        </w:tc>
        <w:tc>
          <w:tcPr>
            <w:tcW w:w="4633" w:type="dxa"/>
            <w:gridSpan w:val="5"/>
            <w:vAlign w:val="top"/>
          </w:tcPr>
          <w:p w14:paraId="79780727">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63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岗位资格证明</w:t>
            </w:r>
          </w:p>
        </w:tc>
        <w:tc>
          <w:tcPr>
            <w:tcW w:w="1914" w:type="dxa"/>
            <w:gridSpan w:val="2"/>
            <w:vAlign w:val="top"/>
          </w:tcPr>
          <w:p w14:paraId="0CC945CC">
            <w:pPr>
              <w:pStyle w:val="43"/>
              <w:keepNext w:val="0"/>
              <w:keepLines w:val="0"/>
              <w:pageBreakBefore w:val="0"/>
              <w:widowControl w:val="0"/>
              <w:kinsoku/>
              <w:wordWrap/>
              <w:overflowPunct/>
              <w:topLinePunct w:val="0"/>
              <w:autoSpaceDE/>
              <w:autoSpaceDN/>
              <w:bidi w:val="0"/>
              <w:adjustRightInd w:val="0"/>
              <w:snapToGrid w:val="0"/>
              <w:spacing w:before="47" w:line="400" w:lineRule="exact"/>
              <w:ind w:left="724" w:right="113" w:hanging="57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已承担在建工程 情况</w:t>
            </w:r>
          </w:p>
        </w:tc>
      </w:tr>
      <w:tr w14:paraId="17F7D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52" w:type="dxa"/>
            <w:vMerge w:val="continue"/>
            <w:tcBorders>
              <w:top w:val="nil"/>
            </w:tcBorders>
            <w:textDirection w:val="tbRlV"/>
            <w:vAlign w:val="top"/>
          </w:tcPr>
          <w:p w14:paraId="6F39B70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Merge w:val="continue"/>
            <w:tcBorders>
              <w:top w:val="nil"/>
            </w:tcBorders>
            <w:vAlign w:val="top"/>
          </w:tcPr>
          <w:p w14:paraId="1EDFC3A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Merge w:val="continue"/>
            <w:tcBorders>
              <w:top w:val="nil"/>
            </w:tcBorders>
            <w:vAlign w:val="top"/>
          </w:tcPr>
          <w:p w14:paraId="1712BB5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9801A29">
            <w:pPr>
              <w:pStyle w:val="43"/>
              <w:keepNext w:val="0"/>
              <w:keepLines w:val="0"/>
              <w:pageBreakBefore w:val="0"/>
              <w:widowControl w:val="0"/>
              <w:kinsoku/>
              <w:wordWrap/>
              <w:overflowPunct/>
              <w:topLinePunct w:val="0"/>
              <w:autoSpaceDE/>
              <w:autoSpaceDN/>
              <w:bidi w:val="0"/>
              <w:adjustRightInd w:val="0"/>
              <w:snapToGrid w:val="0"/>
              <w:spacing w:before="42" w:line="400" w:lineRule="exact"/>
              <w:ind w:left="20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证书</w:t>
            </w:r>
          </w:p>
          <w:p w14:paraId="09FF45F6">
            <w:pPr>
              <w:pStyle w:val="43"/>
              <w:keepNext w:val="0"/>
              <w:keepLines w:val="0"/>
              <w:pageBreakBefore w:val="0"/>
              <w:widowControl w:val="0"/>
              <w:kinsoku/>
              <w:wordWrap/>
              <w:overflowPunct/>
              <w:topLinePunct w:val="0"/>
              <w:autoSpaceDE/>
              <w:autoSpaceDN/>
              <w:bidi w:val="0"/>
              <w:adjustRightInd w:val="0"/>
              <w:snapToGrid w:val="0"/>
              <w:spacing w:line="400" w:lineRule="exact"/>
              <w:ind w:left="2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名称</w:t>
            </w:r>
          </w:p>
        </w:tc>
        <w:tc>
          <w:tcPr>
            <w:tcW w:w="887" w:type="dxa"/>
            <w:vAlign w:val="top"/>
          </w:tcPr>
          <w:p w14:paraId="327CBD4C">
            <w:pPr>
              <w:pStyle w:val="43"/>
              <w:keepNext w:val="0"/>
              <w:keepLines w:val="0"/>
              <w:pageBreakBefore w:val="0"/>
              <w:widowControl w:val="0"/>
              <w:kinsoku/>
              <w:wordWrap/>
              <w:overflowPunct/>
              <w:topLinePunct w:val="0"/>
              <w:autoSpaceDE/>
              <w:autoSpaceDN/>
              <w:bidi w:val="0"/>
              <w:adjustRightInd w:val="0"/>
              <w:snapToGrid w:val="0"/>
              <w:spacing w:before="205" w:line="400" w:lineRule="exact"/>
              <w:ind w:left="21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级别</w:t>
            </w:r>
          </w:p>
        </w:tc>
        <w:tc>
          <w:tcPr>
            <w:tcW w:w="888" w:type="dxa"/>
            <w:vAlign w:val="top"/>
          </w:tcPr>
          <w:p w14:paraId="39584AB2">
            <w:pPr>
              <w:pStyle w:val="43"/>
              <w:keepNext w:val="0"/>
              <w:keepLines w:val="0"/>
              <w:pageBreakBefore w:val="0"/>
              <w:widowControl w:val="0"/>
              <w:kinsoku/>
              <w:wordWrap/>
              <w:overflowPunct/>
              <w:topLinePunct w:val="0"/>
              <w:autoSpaceDE/>
              <w:autoSpaceDN/>
              <w:bidi w:val="0"/>
              <w:adjustRightInd w:val="0"/>
              <w:snapToGrid w:val="0"/>
              <w:spacing w:before="205" w:line="400" w:lineRule="exact"/>
              <w:ind w:left="21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证号</w:t>
            </w:r>
          </w:p>
        </w:tc>
        <w:tc>
          <w:tcPr>
            <w:tcW w:w="887" w:type="dxa"/>
            <w:vAlign w:val="top"/>
          </w:tcPr>
          <w:p w14:paraId="1336A0D6">
            <w:pPr>
              <w:pStyle w:val="43"/>
              <w:keepNext w:val="0"/>
              <w:keepLines w:val="0"/>
              <w:pageBreakBefore w:val="0"/>
              <w:widowControl w:val="0"/>
              <w:kinsoku/>
              <w:wordWrap/>
              <w:overflowPunct/>
              <w:topLinePunct w:val="0"/>
              <w:autoSpaceDE/>
              <w:autoSpaceDN/>
              <w:bidi w:val="0"/>
              <w:adjustRightInd w:val="0"/>
              <w:snapToGrid w:val="0"/>
              <w:spacing w:before="205" w:line="400" w:lineRule="exact"/>
              <w:ind w:left="2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专业</w:t>
            </w:r>
          </w:p>
        </w:tc>
        <w:tc>
          <w:tcPr>
            <w:tcW w:w="1084" w:type="dxa"/>
            <w:vAlign w:val="top"/>
          </w:tcPr>
          <w:p w14:paraId="4A2F9643">
            <w:pPr>
              <w:pStyle w:val="43"/>
              <w:keepNext w:val="0"/>
              <w:keepLines w:val="0"/>
              <w:pageBreakBefore w:val="0"/>
              <w:widowControl w:val="0"/>
              <w:kinsoku/>
              <w:wordWrap/>
              <w:overflowPunct/>
              <w:topLinePunct w:val="0"/>
              <w:autoSpaceDE/>
              <w:autoSpaceDN/>
              <w:bidi w:val="0"/>
              <w:adjustRightInd w:val="0"/>
              <w:snapToGrid w:val="0"/>
              <w:spacing w:before="42" w:line="400" w:lineRule="exact"/>
              <w:ind w:left="312" w:right="177" w:hanging="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原服务 单位</w:t>
            </w:r>
          </w:p>
        </w:tc>
        <w:tc>
          <w:tcPr>
            <w:tcW w:w="870" w:type="dxa"/>
            <w:vAlign w:val="top"/>
          </w:tcPr>
          <w:p w14:paraId="4398F45D">
            <w:pPr>
              <w:pStyle w:val="43"/>
              <w:keepNext w:val="0"/>
              <w:keepLines w:val="0"/>
              <w:pageBreakBefore w:val="0"/>
              <w:widowControl w:val="0"/>
              <w:kinsoku/>
              <w:wordWrap/>
              <w:overflowPunct/>
              <w:topLinePunct w:val="0"/>
              <w:autoSpaceDE/>
              <w:autoSpaceDN/>
              <w:bidi w:val="0"/>
              <w:adjustRightInd w:val="0"/>
              <w:snapToGrid w:val="0"/>
              <w:spacing w:before="42" w:line="400" w:lineRule="exact"/>
              <w:ind w:left="20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项目</w:t>
            </w:r>
          </w:p>
          <w:p w14:paraId="6199D9E4">
            <w:pPr>
              <w:pStyle w:val="43"/>
              <w:keepNext w:val="0"/>
              <w:keepLines w:val="0"/>
              <w:pageBreakBefore w:val="0"/>
              <w:widowControl w:val="0"/>
              <w:kinsoku/>
              <w:wordWrap/>
              <w:overflowPunct/>
              <w:topLinePunct w:val="0"/>
              <w:autoSpaceDE/>
              <w:autoSpaceDN/>
              <w:bidi w:val="0"/>
              <w:adjustRightInd w:val="0"/>
              <w:snapToGrid w:val="0"/>
              <w:spacing w:line="400" w:lineRule="exact"/>
              <w:ind w:left="32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数</w:t>
            </w:r>
          </w:p>
        </w:tc>
        <w:tc>
          <w:tcPr>
            <w:tcW w:w="1044" w:type="dxa"/>
            <w:vAlign w:val="top"/>
          </w:tcPr>
          <w:p w14:paraId="5AAE2AB7">
            <w:pPr>
              <w:pStyle w:val="43"/>
              <w:keepNext w:val="0"/>
              <w:keepLines w:val="0"/>
              <w:pageBreakBefore w:val="0"/>
              <w:widowControl w:val="0"/>
              <w:kinsoku/>
              <w:wordWrap/>
              <w:overflowPunct/>
              <w:topLinePunct w:val="0"/>
              <w:autoSpaceDE/>
              <w:autoSpaceDN/>
              <w:bidi w:val="0"/>
              <w:adjustRightInd w:val="0"/>
              <w:snapToGrid w:val="0"/>
              <w:spacing w:before="42" w:line="400" w:lineRule="exact"/>
              <w:ind w:left="214" w:right="159" w:hanging="4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主要项 目名称</w:t>
            </w:r>
          </w:p>
        </w:tc>
      </w:tr>
      <w:tr w14:paraId="071C7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4E049D2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5959C8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BCE422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49DBBE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743C25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71664A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FAC5AE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22E146F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1858C8B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7C46B9C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77372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732FCC9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79CB9B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3AA69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D12859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CFA492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718C9C0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C40248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111090F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2E0F1D5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0C067BB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006D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72A5711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D57DD2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664251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554FF5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973B55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30F07E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53F305F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23526B1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103DF8D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7EA9D16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B1DE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7497E9C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C5181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E36C0B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4864C3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3D4318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6060777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42296B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66F695F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104878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389E2AA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BEE9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50DC996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B2EEFB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BC9386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F1FEA3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E8861F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185208C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9E1472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221DFF0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797D029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7244C35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878B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73DABD7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3C3AC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C0085D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490CD4F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4A6D40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4E5214E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40519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608B4D9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5450F3E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0786AC3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4EA64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34B07BE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F9B9FA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52BCD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D62934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2F30F2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1DFAF52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C076A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54F1A1C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747AE6D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02362DB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74C8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3A60533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379A9B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CBA4A4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E4FFC4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C89731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5186110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18A4A3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5F13C35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2FAE98A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296015C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7F9B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005EB7C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41497F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79B2DBE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5796B2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BC767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4FD6040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B5F3CB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52DF620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35E8912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10DE595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F93D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1A46610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33213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FE45B6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366B7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695A37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57D2281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AF01E4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13B6690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2396E52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5DCC5EF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DB1D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1F64260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24BE6B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5FB914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08CC2F1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5E6E4C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5899FAF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8415BD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5D86840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1704FFB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2283A95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282A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5C8CFA8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49D092E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58EE3B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4171548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4D51F2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24520B8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7588A4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243407C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32EF126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7D8B82E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FF27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6144879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584F6B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1CEFD4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412E9C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31AD1E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744C332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B47826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3B402E2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0E4E7CD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1892457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0CDF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5434897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F180C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CC40CB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DE0B82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CBF477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78815BB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45058FE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4E4C37B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04D06B1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373448E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1526B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1276807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62BB821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0BC1C8B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14DA9B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E3BE09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1758B97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1EF2C35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5444408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144DF1A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2BD5470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5A300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jc w:val="center"/>
        </w:trPr>
        <w:tc>
          <w:tcPr>
            <w:tcW w:w="652" w:type="dxa"/>
            <w:vAlign w:val="top"/>
          </w:tcPr>
          <w:p w14:paraId="594FEA0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1D2B13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1764E1E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65A608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80CAC3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7B931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78ADF1D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3B60F6C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488C26D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3E666A6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F63A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652" w:type="dxa"/>
            <w:vAlign w:val="top"/>
          </w:tcPr>
          <w:p w14:paraId="1A82B7B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33B9D8E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720" w:type="dxa"/>
            <w:vAlign w:val="top"/>
          </w:tcPr>
          <w:p w14:paraId="20990EB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6B72680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34F8EAD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8" w:type="dxa"/>
            <w:vAlign w:val="top"/>
          </w:tcPr>
          <w:p w14:paraId="14716BD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87" w:type="dxa"/>
            <w:vAlign w:val="top"/>
          </w:tcPr>
          <w:p w14:paraId="21A5DC5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84" w:type="dxa"/>
            <w:vAlign w:val="top"/>
          </w:tcPr>
          <w:p w14:paraId="363DF0F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870" w:type="dxa"/>
            <w:vAlign w:val="top"/>
          </w:tcPr>
          <w:p w14:paraId="7263DF8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1044" w:type="dxa"/>
            <w:vAlign w:val="top"/>
          </w:tcPr>
          <w:p w14:paraId="70857A8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6589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7" w:hRule="atLeast"/>
          <w:jc w:val="center"/>
        </w:trPr>
        <w:tc>
          <w:tcPr>
            <w:tcW w:w="8639" w:type="dxa"/>
            <w:gridSpan w:val="10"/>
            <w:vAlign w:val="top"/>
          </w:tcPr>
          <w:p w14:paraId="4BC2FD84">
            <w:pPr>
              <w:pStyle w:val="43"/>
              <w:keepNext w:val="0"/>
              <w:keepLines w:val="0"/>
              <w:pageBreakBefore w:val="0"/>
              <w:widowControl w:val="0"/>
              <w:kinsoku/>
              <w:wordWrap/>
              <w:overflowPunct/>
              <w:topLinePunct w:val="0"/>
              <w:autoSpaceDE/>
              <w:autoSpaceDN/>
              <w:bidi w:val="0"/>
              <w:adjustRightInd w:val="0"/>
              <w:snapToGrid w:val="0"/>
              <w:spacing w:before="130" w:line="400" w:lineRule="exact"/>
              <w:ind w:left="118" w:right="106" w:firstLine="54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本工程一旦我单位中标，将实行项目负责人负责制，并配备上述项目管理班子。上述填报内容真实，若不真实，愿按有关规定接受处理。项目管理班子机构设置、职责分工等情况另附资料说明。</w:t>
            </w:r>
          </w:p>
        </w:tc>
      </w:tr>
    </w:tbl>
    <w:p w14:paraId="4806BAB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0" w:type="default"/>
          <w:pgSz w:w="11850" w:h="16783"/>
          <w:pgMar w:top="1134" w:right="1134" w:bottom="1134" w:left="1134" w:header="0" w:footer="992" w:gutter="0"/>
          <w:pgNumType w:fmt="decimal"/>
          <w:cols w:space="720" w:num="1"/>
        </w:sectPr>
      </w:pPr>
    </w:p>
    <w:p w14:paraId="4D4EFE26">
      <w:pPr>
        <w:keepNext w:val="0"/>
        <w:keepLines w:val="0"/>
        <w:widowControl/>
        <w:suppressLineNumbers w:val="0"/>
        <w:jc w:val="cente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pPr>
      <w:r>
        <w:rPr>
          <w:rFonts w:hint="eastAsia" w:ascii="宋体" w:hAnsi="宋体" w:eastAsia="宋体" w:cs="宋体"/>
          <w:b/>
          <w:bCs/>
          <w:snapToGrid w:val="0"/>
          <w:color w:val="000000" w:themeColor="text1"/>
          <w:kern w:val="0"/>
          <w:sz w:val="28"/>
          <w:szCs w:val="28"/>
          <w:highlight w:val="none"/>
          <w:lang w:val="en-US" w:eastAsia="zh-CN" w:bidi="ar"/>
          <w14:textFill>
            <w14:solidFill>
              <w14:schemeClr w14:val="tx1"/>
            </w14:solidFill>
          </w14:textFill>
        </w:rPr>
        <w:t>招标人要求提交的其他资料(详见投标须知前附表)</w:t>
      </w:r>
    </w:p>
    <w:p w14:paraId="34E22630">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5BB6A25B">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1E8CC18E">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2CBC3F2A">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68F7674E">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44D486F2">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6429AA62">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6742DC05">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164D28E8">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33C3DB62">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4B5350AB">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3C820194">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1255BEC7">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62F0B612">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16484DDB">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242E9A20">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56D3E1FA">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37C1188C">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489CC8EC">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7BBE73DC">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4DBBE697">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42164660">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p>
    <w:p w14:paraId="39A0D879">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pPr>
      <w:r>
        <w:rPr>
          <w:rFonts w:hint="eastAsia" w:ascii="黑体" w:hAnsi="黑体" w:eastAsia="黑体" w:cs="黑体"/>
          <w:b w:val="0"/>
          <w:bCs w:val="0"/>
          <w:i w:val="0"/>
          <w:iCs w:val="0"/>
          <w:color w:val="000000" w:themeColor="text1"/>
          <w:spacing w:val="0"/>
          <w:sz w:val="32"/>
          <w:szCs w:val="32"/>
          <w:highlight w:val="none"/>
          <w:u w:val="single"/>
          <w:lang w:val="en-US" w:eastAsia="zh-CN"/>
          <w14:textFill>
            <w14:solidFill>
              <w14:schemeClr w14:val="tx1"/>
            </w14:solidFill>
          </w14:textFill>
        </w:rPr>
        <w:t>开化县城市有机更新共同富裕建设项目安置地（一）基础及室外附属设施配套工程—高压配电工程总承包（EPC）</w:t>
      </w:r>
    </w:p>
    <w:p w14:paraId="643E318C">
      <w:pPr>
        <w:keepNext w:val="0"/>
        <w:keepLines w:val="0"/>
        <w:pageBreakBefore w:val="0"/>
        <w:widowControl w:val="0"/>
        <w:kinsoku/>
        <w:wordWrap/>
        <w:overflowPunct/>
        <w:topLinePunct w:val="0"/>
        <w:autoSpaceDE/>
        <w:autoSpaceDN/>
        <w:bidi w:val="0"/>
        <w:adjustRightInd w:val="0"/>
        <w:snapToGrid w:val="0"/>
        <w:spacing w:before="230" w:line="400" w:lineRule="exact"/>
        <w:jc w:val="center"/>
        <w:textAlignment w:val="auto"/>
        <w:outlineLvl w:val="9"/>
        <w:rPr>
          <w:rFonts w:hint="eastAsia" w:ascii="黑体" w:hAnsi="黑体" w:eastAsia="黑体" w:cs="黑体"/>
          <w:i w:val="0"/>
          <w:iCs w:val="0"/>
          <w:color w:val="000000" w:themeColor="text1"/>
          <w:spacing w:val="0"/>
          <w:sz w:val="32"/>
          <w:szCs w:val="32"/>
          <w:highlight w:val="none"/>
          <w14:textFill>
            <w14:solidFill>
              <w14:schemeClr w14:val="tx1"/>
            </w14:solidFill>
          </w14:textFill>
        </w:rPr>
      </w:pPr>
      <w:r>
        <w:rPr>
          <w:rFonts w:hint="eastAsia" w:ascii="黑体" w:hAnsi="黑体" w:eastAsia="黑体" w:cs="黑体"/>
          <w:b w:val="0"/>
          <w:bCs w:val="0"/>
          <w:i w:val="0"/>
          <w:iCs w:val="0"/>
          <w:color w:val="000000" w:themeColor="text1"/>
          <w:spacing w:val="0"/>
          <w:sz w:val="32"/>
          <w:szCs w:val="32"/>
          <w:highlight w:val="none"/>
          <w:u w:val="single"/>
          <w14:textFill>
            <w14:solidFill>
              <w14:schemeClr w14:val="tx1"/>
            </w14:solidFill>
          </w14:textFill>
        </w:rPr>
        <w:t>投标文件</w:t>
      </w:r>
    </w:p>
    <w:p w14:paraId="4CEF0037">
      <w:pPr>
        <w:keepNext w:val="0"/>
        <w:keepLines w:val="0"/>
        <w:pageBreakBefore w:val="0"/>
        <w:widowControl w:val="0"/>
        <w:kinsoku/>
        <w:wordWrap/>
        <w:overflowPunct/>
        <w:topLinePunct w:val="0"/>
        <w:autoSpaceDE/>
        <w:autoSpaceDN/>
        <w:bidi w:val="0"/>
        <w:adjustRightInd w:val="0"/>
        <w:snapToGrid w:val="0"/>
        <w:spacing w:before="142" w:line="400" w:lineRule="exact"/>
        <w:jc w:val="center"/>
        <w:textAlignment w:val="auto"/>
        <w:outlineLvl w:val="9"/>
        <w:rPr>
          <w:rFonts w:hint="eastAsia" w:ascii="宋体" w:hAnsi="宋体" w:eastAsia="宋体" w:cs="宋体"/>
          <w:i w:val="0"/>
          <w:iCs w:val="0"/>
          <w:color w:val="000000" w:themeColor="text1"/>
          <w:spacing w:val="0"/>
          <w:sz w:val="32"/>
          <w:szCs w:val="32"/>
          <w:highlight w:val="none"/>
          <w14:textFill>
            <w14:solidFill>
              <w14:schemeClr w14:val="tx1"/>
            </w14:solidFill>
          </w14:textFill>
        </w:rPr>
      </w:pPr>
      <w:r>
        <w:rPr>
          <w:rFonts w:hint="eastAsia" w:ascii="宋体" w:hAnsi="宋体" w:eastAsia="宋体" w:cs="宋体"/>
          <w:i w:val="0"/>
          <w:iCs w:val="0"/>
          <w:color w:val="000000" w:themeColor="text1"/>
          <w:spacing w:val="0"/>
          <w:sz w:val="32"/>
          <w:szCs w:val="32"/>
          <w:highlight w:val="none"/>
          <w14:textFill>
            <w14:solidFill>
              <w14:schemeClr w14:val="tx1"/>
            </w14:solidFill>
          </w14:textFill>
        </w:rPr>
        <w:t>（封面）</w:t>
      </w:r>
    </w:p>
    <w:p w14:paraId="6D8B8EA6">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1059870">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2F1E68B">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62D21D4">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23B5C3A">
      <w:pPr>
        <w:keepNext w:val="0"/>
        <w:keepLines w:val="0"/>
        <w:pageBreakBefore w:val="0"/>
        <w:widowControl w:val="0"/>
        <w:kinsoku/>
        <w:wordWrap/>
        <w:overflowPunct/>
        <w:topLinePunct w:val="0"/>
        <w:autoSpaceDE/>
        <w:autoSpaceDN/>
        <w:bidi w:val="0"/>
        <w:adjustRightInd w:val="0"/>
        <w:snapToGrid w:val="0"/>
        <w:spacing w:before="101" w:line="400" w:lineRule="exact"/>
        <w:ind w:left="568"/>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项目名称：</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26AC94D2">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6F43FCCA">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55358B5D">
      <w:pPr>
        <w:keepNext w:val="0"/>
        <w:keepLines w:val="0"/>
        <w:pageBreakBefore w:val="0"/>
        <w:widowControl w:val="0"/>
        <w:kinsoku/>
        <w:wordWrap/>
        <w:overflowPunct/>
        <w:topLinePunct w:val="0"/>
        <w:autoSpaceDE/>
        <w:autoSpaceDN/>
        <w:bidi w:val="0"/>
        <w:adjustRightInd w:val="0"/>
        <w:snapToGrid w:val="0"/>
        <w:spacing w:before="101" w:line="400" w:lineRule="exact"/>
        <w:ind w:left="566"/>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投标文件内容：</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投标文件商务标格式      </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p>
    <w:p w14:paraId="2734188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7F013AD6">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642DB5A7">
      <w:pPr>
        <w:keepNext w:val="0"/>
        <w:keepLines w:val="0"/>
        <w:pageBreakBefore w:val="0"/>
        <w:widowControl w:val="0"/>
        <w:kinsoku/>
        <w:wordWrap/>
        <w:overflowPunct/>
        <w:topLinePunct w:val="0"/>
        <w:autoSpaceDE/>
        <w:autoSpaceDN/>
        <w:bidi w:val="0"/>
        <w:adjustRightInd w:val="0"/>
        <w:snapToGrid w:val="0"/>
        <w:spacing w:before="101" w:line="400" w:lineRule="exact"/>
        <w:ind w:left="566"/>
        <w:jc w:val="both"/>
        <w:textAlignment w:val="auto"/>
        <w:outlineLvl w:val="9"/>
        <w:rPr>
          <w:rFonts w:hint="default" w:ascii="宋体" w:hAnsi="宋体" w:eastAsia="宋体" w:cs="宋体"/>
          <w:i w:val="0"/>
          <w:iCs w:val="0"/>
          <w:color w:val="000000" w:themeColor="text1"/>
          <w:spacing w:val="0"/>
          <w:sz w:val="30"/>
          <w:szCs w:val="30"/>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投标人：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（单位盖章）</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p>
    <w:p w14:paraId="1D1A6E6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7A883EAC">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5AC7DDD1">
      <w:pPr>
        <w:keepNext w:val="0"/>
        <w:keepLines w:val="0"/>
        <w:pageBreakBefore w:val="0"/>
        <w:widowControl w:val="0"/>
        <w:kinsoku/>
        <w:wordWrap/>
        <w:overflowPunct/>
        <w:topLinePunct w:val="0"/>
        <w:autoSpaceDE/>
        <w:autoSpaceDN/>
        <w:bidi w:val="0"/>
        <w:adjustRightInd w:val="0"/>
        <w:snapToGrid w:val="0"/>
        <w:spacing w:before="101" w:line="400" w:lineRule="exact"/>
        <w:ind w:left="564"/>
        <w:jc w:val="both"/>
        <w:textAlignment w:val="auto"/>
        <w:outlineLvl w:val="9"/>
        <w:rPr>
          <w:rFonts w:hint="default" w:ascii="宋体" w:hAnsi="宋体" w:eastAsia="宋体" w:cs="宋体"/>
          <w:i w:val="0"/>
          <w:iCs w:val="0"/>
          <w:color w:val="000000" w:themeColor="text1"/>
          <w:spacing w:val="0"/>
          <w:sz w:val="30"/>
          <w:szCs w:val="30"/>
          <w:highlight w:val="none"/>
          <w:lang w:val="en-US" w:eastAsia="zh-CN"/>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法定代表人或委托代理人：</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（签字或盖章）</w:t>
      </w:r>
      <w:r>
        <w:rPr>
          <w:rFonts w:hint="eastAsia" w:ascii="宋体" w:hAnsi="宋体" w:eastAsia="宋体" w:cs="宋体"/>
          <w:i w:val="0"/>
          <w:iCs w:val="0"/>
          <w:color w:val="000000" w:themeColor="text1"/>
          <w:spacing w:val="0"/>
          <w:sz w:val="30"/>
          <w:szCs w:val="30"/>
          <w:highlight w:val="none"/>
          <w:u w:val="single" w:color="auto"/>
          <w:lang w:val="en-US" w:eastAsia="zh-CN"/>
          <w14:textFill>
            <w14:solidFill>
              <w14:schemeClr w14:val="tx1"/>
            </w14:solidFill>
          </w14:textFill>
        </w:rPr>
        <w:t xml:space="preserve">        </w:t>
      </w:r>
    </w:p>
    <w:p w14:paraId="6AE7CE8F">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4B1EBC11">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2793FE5">
      <w:pPr>
        <w:keepNext w:val="0"/>
        <w:keepLines w:val="0"/>
        <w:pageBreakBefore w:val="0"/>
        <w:widowControl w:val="0"/>
        <w:kinsoku/>
        <w:wordWrap/>
        <w:overflowPunct/>
        <w:topLinePunct w:val="0"/>
        <w:autoSpaceDE/>
        <w:autoSpaceDN/>
        <w:bidi w:val="0"/>
        <w:adjustRightInd w:val="0"/>
        <w:snapToGrid w:val="0"/>
        <w:spacing w:before="101" w:line="400" w:lineRule="exact"/>
        <w:jc w:val="both"/>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p>
    <w:p w14:paraId="565B6C98">
      <w:pPr>
        <w:keepNext w:val="0"/>
        <w:keepLines w:val="0"/>
        <w:pageBreakBefore w:val="0"/>
        <w:widowControl w:val="0"/>
        <w:kinsoku/>
        <w:wordWrap/>
        <w:overflowPunct/>
        <w:topLinePunct w:val="0"/>
        <w:autoSpaceDE/>
        <w:autoSpaceDN/>
        <w:bidi w:val="0"/>
        <w:adjustRightInd w:val="0"/>
        <w:snapToGrid w:val="0"/>
        <w:spacing w:before="101" w:line="400" w:lineRule="exact"/>
        <w:jc w:val="center"/>
        <w:textAlignment w:val="auto"/>
        <w:outlineLvl w:val="9"/>
        <w:rPr>
          <w:rFonts w:hint="eastAsia" w:ascii="宋体" w:hAnsi="宋体" w:eastAsia="宋体" w:cs="宋体"/>
          <w:i w:val="0"/>
          <w:iCs w:val="0"/>
          <w:color w:val="000000" w:themeColor="text1"/>
          <w:spacing w:val="0"/>
          <w:sz w:val="30"/>
          <w:szCs w:val="30"/>
          <w:highlight w:val="none"/>
          <w14:textFill>
            <w14:solidFill>
              <w14:schemeClr w14:val="tx1"/>
            </w14:solidFill>
          </w14:textFill>
        </w:rPr>
      </w:pPr>
      <w:r>
        <w:rPr>
          <w:rFonts w:hint="eastAsia" w:ascii="宋体" w:hAnsi="宋体" w:eastAsia="宋体" w:cs="宋体"/>
          <w:i w:val="0"/>
          <w:iCs w:val="0"/>
          <w:color w:val="000000" w:themeColor="text1"/>
          <w:spacing w:val="0"/>
          <w:sz w:val="30"/>
          <w:szCs w:val="30"/>
          <w:highlight w:val="none"/>
          <w14:textFill>
            <w14:solidFill>
              <w14:schemeClr w14:val="tx1"/>
            </w14:solidFill>
          </w14:textFill>
        </w:rPr>
        <w:t>日期：</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年 </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30"/>
          <w:szCs w:val="30"/>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30"/>
          <w:szCs w:val="30"/>
          <w:highlight w:val="none"/>
          <w14:textFill>
            <w14:solidFill>
              <w14:schemeClr w14:val="tx1"/>
            </w14:solidFill>
          </w14:textFill>
        </w:rPr>
        <w:t xml:space="preserve"> 日</w:t>
      </w:r>
    </w:p>
    <w:p w14:paraId="73BBACC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1" w:type="default"/>
          <w:pgSz w:w="11850" w:h="16783"/>
          <w:pgMar w:top="1134" w:right="1134" w:bottom="1134" w:left="1134" w:header="0" w:footer="992" w:gutter="0"/>
          <w:pgNumType w:fmt="decimal"/>
          <w:cols w:space="720" w:num="1"/>
        </w:sectPr>
      </w:pPr>
    </w:p>
    <w:p w14:paraId="41E5CDB4">
      <w:pPr>
        <w:keepNext w:val="0"/>
        <w:keepLines w:val="0"/>
        <w:pageBreakBefore w:val="0"/>
        <w:widowControl w:val="0"/>
        <w:kinsoku/>
        <w:wordWrap/>
        <w:overflowPunct/>
        <w:topLinePunct w:val="0"/>
        <w:autoSpaceDE/>
        <w:autoSpaceDN/>
        <w:bidi w:val="0"/>
        <w:adjustRightInd w:val="0"/>
        <w:snapToGrid w:val="0"/>
        <w:spacing w:before="71" w:line="400" w:lineRule="exact"/>
        <w:jc w:val="center"/>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目</w:t>
      </w:r>
      <w:r>
        <w:rPr>
          <w:rFonts w:hint="eastAsia" w:ascii="宋体" w:hAnsi="宋体" w:eastAsia="宋体" w:cs="宋体"/>
          <w:i w:val="0"/>
          <w:iCs w:val="0"/>
          <w:color w:val="000000" w:themeColor="text1"/>
          <w:spacing w:val="0"/>
          <w:sz w:val="36"/>
          <w:szCs w:val="36"/>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录</w:t>
      </w:r>
    </w:p>
    <w:p w14:paraId="3600ADD3">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626BFF8">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法定代表人资格证明书</w:t>
      </w:r>
    </w:p>
    <w:p w14:paraId="38BA3EC2">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2.</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法定代表人授权委托书</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、参加开标会议委托书参考格式</w:t>
      </w:r>
    </w:p>
    <w:p w14:paraId="525C33DF">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3.</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投标函</w:t>
      </w:r>
    </w:p>
    <w:p w14:paraId="3C677A7F">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4</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.投标函附录</w:t>
      </w:r>
    </w:p>
    <w:p w14:paraId="722DC1E0">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5</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投标承诺书</w:t>
      </w:r>
    </w:p>
    <w:p w14:paraId="15D9E393">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auto"/>
          <w:spacing w:val="0"/>
          <w:sz w:val="21"/>
          <w:szCs w:val="21"/>
          <w:highlight w:val="none"/>
        </w:rPr>
      </w:pPr>
      <w:r>
        <w:rPr>
          <w:rFonts w:hint="eastAsia" w:ascii="宋体" w:hAnsi="宋体" w:cs="宋体"/>
          <w:i w:val="0"/>
          <w:iCs w:val="0"/>
          <w:color w:val="auto"/>
          <w:spacing w:val="0"/>
          <w:sz w:val="21"/>
          <w:szCs w:val="21"/>
          <w:highlight w:val="none"/>
          <w:lang w:val="en-US" w:eastAsia="zh-CN"/>
        </w:rPr>
        <w:t>6</w:t>
      </w:r>
      <w:r>
        <w:rPr>
          <w:rFonts w:hint="eastAsia" w:ascii="宋体" w:hAnsi="宋体" w:eastAsia="宋体" w:cs="宋体"/>
          <w:i w:val="0"/>
          <w:iCs w:val="0"/>
          <w:color w:val="auto"/>
          <w:spacing w:val="0"/>
          <w:sz w:val="21"/>
          <w:szCs w:val="21"/>
          <w:highlight w:val="none"/>
        </w:rPr>
        <w:t>.已标价工程量清单</w:t>
      </w:r>
    </w:p>
    <w:p w14:paraId="4AFC3EAA">
      <w:pPr>
        <w:keepNext w:val="0"/>
        <w:keepLines w:val="0"/>
        <w:pageBreakBefore w:val="0"/>
        <w:widowControl w:val="0"/>
        <w:kinsoku/>
        <w:wordWrap/>
        <w:overflowPunct/>
        <w:topLinePunct w:val="0"/>
        <w:autoSpaceDE/>
        <w:autoSpaceDN/>
        <w:bidi w:val="0"/>
        <w:adjustRightInd w:val="0"/>
        <w:snapToGrid w:val="0"/>
        <w:spacing w:line="440" w:lineRule="exact"/>
        <w:ind w:firstLine="56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2" w:type="default"/>
          <w:pgSz w:w="11850" w:h="16783"/>
          <w:pgMar w:top="1134" w:right="1134" w:bottom="1134" w:left="1134" w:header="0" w:footer="992" w:gutter="0"/>
          <w:pgNumType w:fmt="decimal"/>
          <w:cols w:space="720" w:num="1"/>
        </w:sectPr>
      </w:pPr>
      <w:r>
        <w:rPr>
          <w:rFonts w:hint="eastAsia" w:ascii="宋体" w:hAnsi="宋体" w:cs="宋体"/>
          <w:i w:val="0"/>
          <w:iCs w:val="0"/>
          <w:color w:val="000000" w:themeColor="text1"/>
          <w:spacing w:val="0"/>
          <w:sz w:val="21"/>
          <w:szCs w:val="21"/>
          <w:highlight w:val="none"/>
          <w:lang w:val="en-US" w:eastAsia="zh-CN"/>
          <w14:textFill>
            <w14:solidFill>
              <w14:schemeClr w14:val="tx1"/>
            </w14:solidFill>
          </w14:textFill>
        </w:rPr>
        <w:t>7</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.招标文件要求投标人提交的其它投标资料(见投标须知前附表</w:t>
      </w:r>
      <w:r>
        <w:rPr>
          <w:rFonts w:hint="eastAsia" w:ascii="宋体" w:hAnsi="宋体" w:eastAsia="宋体" w:cs="宋体"/>
          <w:i w:val="0"/>
          <w:iCs w:val="0"/>
          <w:color w:val="000000" w:themeColor="text1"/>
          <w:spacing w:val="0"/>
          <w:sz w:val="21"/>
          <w:szCs w:val="21"/>
          <w:highlight w:val="none"/>
          <w:lang w:eastAsia="zh-CN"/>
          <w14:textFill>
            <w14:solidFill>
              <w14:schemeClr w14:val="tx1"/>
            </w14:solidFill>
          </w14:textFill>
        </w:rPr>
        <w:t>）</w:t>
      </w:r>
    </w:p>
    <w:p w14:paraId="3840988C">
      <w:pPr>
        <w:keepNext w:val="0"/>
        <w:keepLines w:val="0"/>
        <w:pageBreakBefore w:val="0"/>
        <w:widowControl w:val="0"/>
        <w:kinsoku/>
        <w:wordWrap/>
        <w:overflowPunct/>
        <w:topLinePunct w:val="0"/>
        <w:autoSpaceDE/>
        <w:autoSpaceDN/>
        <w:bidi w:val="0"/>
        <w:adjustRightInd w:val="0"/>
        <w:snapToGrid w:val="0"/>
        <w:spacing w:before="88"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法定代表人身份证明书</w:t>
      </w:r>
    </w:p>
    <w:p w14:paraId="456140A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70E84D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334D66F">
      <w:pPr>
        <w:keepNext w:val="0"/>
        <w:keepLines w:val="0"/>
        <w:pageBreakBefore w:val="0"/>
        <w:widowControl w:val="0"/>
        <w:kinsoku/>
        <w:wordWrap/>
        <w:overflowPunct/>
        <w:topLinePunct w:val="0"/>
        <w:autoSpaceDE/>
        <w:autoSpaceDN/>
        <w:bidi w:val="0"/>
        <w:adjustRightInd w:val="0"/>
        <w:snapToGrid w:val="0"/>
        <w:spacing w:before="78" w:line="480" w:lineRule="auto"/>
        <w:ind w:left="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单位名称：</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4EFFF365">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地    址：</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1C529123">
      <w:pPr>
        <w:keepNext w:val="0"/>
        <w:keepLines w:val="0"/>
        <w:pageBreakBefore w:val="0"/>
        <w:widowControl w:val="0"/>
        <w:kinsoku/>
        <w:wordWrap/>
        <w:overflowPunct/>
        <w:topLinePunct w:val="0"/>
        <w:autoSpaceDE/>
        <w:autoSpaceDN/>
        <w:bidi w:val="0"/>
        <w:adjustRightInd w:val="0"/>
        <w:snapToGrid w:val="0"/>
        <w:spacing w:before="78" w:line="480" w:lineRule="auto"/>
        <w:ind w:left="18" w:hanging="1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姓名：</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性别：</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年龄：</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职务：</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系的法定代表人。为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（项目名称）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签署的投标文件内容均有效，并进行合同谈</w:t>
      </w:r>
    </w:p>
    <w:p w14:paraId="110C1E27">
      <w:pPr>
        <w:keepNext w:val="0"/>
        <w:keepLines w:val="0"/>
        <w:pageBreakBefore w:val="0"/>
        <w:widowControl w:val="0"/>
        <w:kinsoku/>
        <w:wordWrap/>
        <w:overflowPunct/>
        <w:topLinePunct w:val="0"/>
        <w:autoSpaceDE/>
        <w:autoSpaceDN/>
        <w:bidi w:val="0"/>
        <w:adjustRightInd w:val="0"/>
        <w:snapToGrid w:val="0"/>
        <w:spacing w:before="1" w:line="480" w:lineRule="auto"/>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判、签署合同和处理与之有关的一切事务。</w:t>
      </w:r>
    </w:p>
    <w:p w14:paraId="5053AA32">
      <w:pPr>
        <w:keepNext w:val="0"/>
        <w:keepLines w:val="0"/>
        <w:pageBreakBefore w:val="0"/>
        <w:widowControl w:val="0"/>
        <w:kinsoku/>
        <w:wordWrap/>
        <w:overflowPunct/>
        <w:topLinePunct w:val="0"/>
        <w:autoSpaceDE/>
        <w:autoSpaceDN/>
        <w:bidi w:val="0"/>
        <w:adjustRightInd w:val="0"/>
        <w:snapToGrid w:val="0"/>
        <w:spacing w:before="79" w:line="400" w:lineRule="exact"/>
        <w:ind w:left="25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附</w:t>
      </w:r>
    </w:p>
    <w:p w14:paraId="4A828F4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bl>
      <w:tblPr>
        <w:tblStyle w:val="60"/>
        <w:tblW w:w="6666" w:type="dxa"/>
        <w:tblInd w:w="10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30D4E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trPr>
        <w:tc>
          <w:tcPr>
            <w:tcW w:w="6666" w:type="dxa"/>
            <w:vAlign w:val="top"/>
          </w:tcPr>
          <w:p w14:paraId="4023966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302964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24C98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0CEB47B">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0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法定代表人身份证正面原件的复制件粘贴处</w:t>
            </w:r>
          </w:p>
        </w:tc>
      </w:tr>
      <w:tr w14:paraId="7654A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2" w:hRule="atLeast"/>
        </w:trPr>
        <w:tc>
          <w:tcPr>
            <w:tcW w:w="6666" w:type="dxa"/>
            <w:vAlign w:val="top"/>
          </w:tcPr>
          <w:p w14:paraId="54CB68A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A01B9B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C912CA9">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0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法定代表人身份证背面原件的复制件粘贴处</w:t>
            </w:r>
          </w:p>
        </w:tc>
      </w:tr>
    </w:tbl>
    <w:p w14:paraId="3D147751">
      <w:pPr>
        <w:keepNext w:val="0"/>
        <w:keepLines w:val="0"/>
        <w:pageBreakBefore w:val="0"/>
        <w:widowControl w:val="0"/>
        <w:kinsoku/>
        <w:wordWrap/>
        <w:overflowPunct/>
        <w:topLinePunct w:val="0"/>
        <w:autoSpaceDE/>
        <w:autoSpaceDN/>
        <w:bidi w:val="0"/>
        <w:adjustRightInd w:val="0"/>
        <w:snapToGrid w:val="0"/>
        <w:spacing w:before="206"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特此证明。</w:t>
      </w:r>
    </w:p>
    <w:p w14:paraId="6989DCFE">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FC7D74F">
      <w:pPr>
        <w:keepNext w:val="0"/>
        <w:keepLines w:val="0"/>
        <w:pageBreakBefore w:val="0"/>
        <w:widowControl w:val="0"/>
        <w:kinsoku/>
        <w:wordWrap/>
        <w:overflowPunct/>
        <w:topLinePunct w:val="0"/>
        <w:autoSpaceDE/>
        <w:autoSpaceDN/>
        <w:bidi w:val="0"/>
        <w:adjustRightInd w:val="0"/>
        <w:snapToGrid w:val="0"/>
        <w:spacing w:before="79" w:line="400" w:lineRule="exact"/>
        <w:ind w:left="324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（单位盖章）       </w:t>
      </w:r>
    </w:p>
    <w:p w14:paraId="7F158898">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4A0DF92">
      <w:pPr>
        <w:keepNext w:val="0"/>
        <w:keepLines w:val="0"/>
        <w:pageBreakBefore w:val="0"/>
        <w:widowControl w:val="0"/>
        <w:kinsoku/>
        <w:wordWrap/>
        <w:overflowPunct/>
        <w:topLinePunct w:val="0"/>
        <w:autoSpaceDE/>
        <w:autoSpaceDN/>
        <w:bidi w:val="0"/>
        <w:adjustRightInd w:val="0"/>
        <w:snapToGrid w:val="0"/>
        <w:spacing w:before="79" w:line="400" w:lineRule="exact"/>
        <w:ind w:left="328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    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p>
    <w:p w14:paraId="1DBD8C6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5C8246D">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992656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3" w:type="default"/>
          <w:pgSz w:w="11850" w:h="16783"/>
          <w:pgMar w:top="1134" w:right="1134" w:bottom="1134" w:left="1134" w:header="0" w:footer="992" w:gutter="0"/>
          <w:pgNumType w:fmt="decimal"/>
          <w:cols w:space="720" w:num="1"/>
        </w:sectPr>
      </w:pPr>
    </w:p>
    <w:p w14:paraId="59084AC3">
      <w:pPr>
        <w:keepNext w:val="0"/>
        <w:keepLines w:val="0"/>
        <w:pageBreakBefore w:val="0"/>
        <w:widowControl w:val="0"/>
        <w:kinsoku/>
        <w:wordWrap/>
        <w:overflowPunct/>
        <w:topLinePunct w:val="0"/>
        <w:autoSpaceDE/>
        <w:autoSpaceDN/>
        <w:bidi w:val="0"/>
        <w:adjustRightInd w:val="0"/>
        <w:snapToGrid w:val="0"/>
        <w:spacing w:before="71" w:line="400" w:lineRule="exact"/>
        <w:jc w:val="center"/>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授权委托书</w:t>
      </w:r>
    </w:p>
    <w:p w14:paraId="6B459751">
      <w:pPr>
        <w:keepNext w:val="0"/>
        <w:keepLines w:val="0"/>
        <w:pageBreakBefore w:val="0"/>
        <w:widowControl w:val="0"/>
        <w:kinsoku/>
        <w:wordWrap/>
        <w:overflowPunct/>
        <w:topLinePunct w:val="0"/>
        <w:autoSpaceDE/>
        <w:autoSpaceDN/>
        <w:bidi w:val="0"/>
        <w:adjustRightInd w:val="0"/>
        <w:snapToGrid w:val="0"/>
        <w:spacing w:before="289" w:line="480" w:lineRule="auto"/>
        <w:ind w:left="2" w:firstLine="71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本授权委托书声明：我</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（姓名）</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系</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（投标单位名称）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的法定代表人， 现授权委托</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（单位名称）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的</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（姓名）</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在</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日至</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日（代理时  限）为我公司的代理人，以本公司的名义参加</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（项目名称）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的投标活动。代理  人在代理时间内参加投标、开标、询标过程中所签署的一切文件和处理与之相关</w:t>
      </w:r>
    </w:p>
    <w:p w14:paraId="78486BAD">
      <w:pPr>
        <w:keepNext w:val="0"/>
        <w:keepLines w:val="0"/>
        <w:pageBreakBefore w:val="0"/>
        <w:widowControl w:val="0"/>
        <w:kinsoku/>
        <w:wordWrap/>
        <w:overflowPunct/>
        <w:topLinePunct w:val="0"/>
        <w:autoSpaceDE/>
        <w:autoSpaceDN/>
        <w:bidi w:val="0"/>
        <w:adjustRightInd w:val="0"/>
        <w:snapToGrid w:val="0"/>
        <w:spacing w:line="480" w:lineRule="auto"/>
        <w:ind w:left="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的一切事务，本人均予以承认，并承诺诚信投标。</w:t>
      </w:r>
    </w:p>
    <w:p w14:paraId="34634B3F">
      <w:pPr>
        <w:keepNext w:val="0"/>
        <w:keepLines w:val="0"/>
        <w:pageBreakBefore w:val="0"/>
        <w:widowControl w:val="0"/>
        <w:kinsoku/>
        <w:wordWrap/>
        <w:overflowPunct/>
        <w:topLinePunct w:val="0"/>
        <w:autoSpaceDE/>
        <w:autoSpaceDN/>
        <w:bidi w:val="0"/>
        <w:adjustRightInd w:val="0"/>
        <w:snapToGrid w:val="0"/>
        <w:spacing w:before="78"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代理人无权转委托。特此委托。</w:t>
      </w:r>
    </w:p>
    <w:p w14:paraId="7D6F03B5">
      <w:pPr>
        <w:keepNext w:val="0"/>
        <w:keepLines w:val="0"/>
        <w:pageBreakBefore w:val="0"/>
        <w:widowControl w:val="0"/>
        <w:kinsoku/>
        <w:wordWrap/>
        <w:overflowPunct/>
        <w:topLinePunct w:val="0"/>
        <w:autoSpaceDE/>
        <w:autoSpaceDN/>
        <w:bidi w:val="0"/>
        <w:adjustRightInd w:val="0"/>
        <w:snapToGrid w:val="0"/>
        <w:spacing w:before="214" w:line="400" w:lineRule="exact"/>
        <w:ind w:left="2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附</w:t>
      </w:r>
    </w:p>
    <w:p w14:paraId="7370958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bl>
      <w:tblPr>
        <w:tblStyle w:val="60"/>
        <w:tblW w:w="6666" w:type="dxa"/>
        <w:tblInd w:w="10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6"/>
      </w:tblGrid>
      <w:tr w14:paraId="62A66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2" w:hRule="atLeast"/>
        </w:trPr>
        <w:tc>
          <w:tcPr>
            <w:tcW w:w="6666" w:type="dxa"/>
            <w:vAlign w:val="top"/>
          </w:tcPr>
          <w:p w14:paraId="19B8B4E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E668F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719EAF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5F929B2">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9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代理人身份证正面原件的复制件粘贴处</w:t>
            </w:r>
          </w:p>
        </w:tc>
      </w:tr>
      <w:tr w14:paraId="39742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9" w:hRule="atLeast"/>
        </w:trPr>
        <w:tc>
          <w:tcPr>
            <w:tcW w:w="6666" w:type="dxa"/>
            <w:vAlign w:val="top"/>
          </w:tcPr>
          <w:p w14:paraId="11AC915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822494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86E834">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9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03CE133">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9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代理人身份证背面原件的复制件粘贴处</w:t>
            </w:r>
          </w:p>
        </w:tc>
      </w:tr>
    </w:tbl>
    <w:p w14:paraId="1FF761BE">
      <w:pPr>
        <w:keepNext w:val="0"/>
        <w:keepLines w:val="0"/>
        <w:pageBreakBefore w:val="0"/>
        <w:widowControl w:val="0"/>
        <w:kinsoku/>
        <w:wordWrap/>
        <w:overflowPunct/>
        <w:topLinePunct w:val="0"/>
        <w:autoSpaceDE/>
        <w:autoSpaceDN/>
        <w:bidi w:val="0"/>
        <w:adjustRightInd w:val="0"/>
        <w:snapToGrid w:val="0"/>
        <w:spacing w:before="126" w:line="400" w:lineRule="exact"/>
        <w:ind w:left="276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  标  人（单  位盖章）：</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567A3A8C">
      <w:pPr>
        <w:keepNext w:val="0"/>
        <w:keepLines w:val="0"/>
        <w:pageBreakBefore w:val="0"/>
        <w:widowControl w:val="0"/>
        <w:kinsoku/>
        <w:wordWrap/>
        <w:overflowPunct/>
        <w:topLinePunct w:val="0"/>
        <w:autoSpaceDE/>
        <w:autoSpaceDN/>
        <w:bidi w:val="0"/>
        <w:adjustRightInd w:val="0"/>
        <w:snapToGrid w:val="0"/>
        <w:spacing w:before="1" w:line="400" w:lineRule="exact"/>
        <w:ind w:left="276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法定代表人（签字或盖章）：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732DE588">
      <w:pPr>
        <w:keepNext w:val="0"/>
        <w:keepLines w:val="0"/>
        <w:pageBreakBefore w:val="0"/>
        <w:widowControl w:val="0"/>
        <w:kinsoku/>
        <w:wordWrap/>
        <w:overflowPunct/>
        <w:topLinePunct w:val="0"/>
        <w:autoSpaceDE/>
        <w:autoSpaceDN/>
        <w:bidi w:val="0"/>
        <w:adjustRightInd w:val="0"/>
        <w:snapToGrid w:val="0"/>
        <w:spacing w:before="208" w:line="400" w:lineRule="exact"/>
        <w:ind w:left="280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日                    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p>
    <w:p w14:paraId="4B8AF676">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E5C6D4F">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41448D32">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44C03D15">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73ED9040">
      <w:pP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pPr>
    </w:p>
    <w:p w14:paraId="3A128CEE">
      <w:pPr>
        <w:keepNext w:val="0"/>
        <w:keepLines w:val="0"/>
        <w:pageBreakBefore w:val="0"/>
        <w:widowControl w:val="0"/>
        <w:kinsoku/>
        <w:wordWrap/>
        <w:overflowPunct/>
        <w:topLinePunct w:val="0"/>
        <w:autoSpaceDE/>
        <w:autoSpaceDN/>
        <w:bidi w:val="0"/>
        <w:adjustRightInd w:val="0"/>
        <w:snapToGrid w:val="0"/>
        <w:spacing w:before="72" w:line="400" w:lineRule="exact"/>
        <w:jc w:val="center"/>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投</w:t>
      </w:r>
      <w:r>
        <w:rPr>
          <w:rFonts w:hint="eastAsia" w:ascii="宋体" w:hAnsi="宋体" w:eastAsia="宋体" w:cs="宋体"/>
          <w:i w:val="0"/>
          <w:iCs w:val="0"/>
          <w:color w:val="000000" w:themeColor="text1"/>
          <w:spacing w:val="0"/>
          <w:sz w:val="36"/>
          <w:szCs w:val="36"/>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标</w:t>
      </w:r>
      <w:r>
        <w:rPr>
          <w:rFonts w:hint="eastAsia" w:ascii="宋体" w:hAnsi="宋体" w:eastAsia="宋体" w:cs="宋体"/>
          <w:i w:val="0"/>
          <w:iCs w:val="0"/>
          <w:color w:val="000000" w:themeColor="text1"/>
          <w:spacing w:val="0"/>
          <w:sz w:val="36"/>
          <w:szCs w:val="36"/>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函</w:t>
      </w:r>
    </w:p>
    <w:p w14:paraId="60CB316B">
      <w:pPr>
        <w:keepNext w:val="0"/>
        <w:keepLines w:val="0"/>
        <w:pageBreakBefore w:val="0"/>
        <w:widowControl w:val="0"/>
        <w:tabs>
          <w:tab w:val="left" w:pos="125"/>
        </w:tabs>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（招标人名称）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6ACEE94F">
      <w:pPr>
        <w:keepNext w:val="0"/>
        <w:keepLines w:val="0"/>
        <w:pageBreakBefore w:val="0"/>
        <w:widowControl w:val="0"/>
        <w:kinsoku/>
        <w:wordWrap/>
        <w:overflowPunct/>
        <w:topLinePunct w:val="0"/>
        <w:autoSpaceDE/>
        <w:autoSpaceDN/>
        <w:bidi w:val="0"/>
        <w:adjustRightInd w:val="0"/>
        <w:snapToGrid w:val="0"/>
        <w:spacing w:line="440" w:lineRule="exact"/>
        <w:ind w:left="9" w:firstLine="49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 我方己仔细研究了</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（项目名称）</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工程总承包标段招标文件的全部内容，愿意以人民币（大写）</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元(￥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 的投标报价，项目负责人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）所在单位：</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 设计负责人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所在单位：</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，施工负责人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）所在单位：</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工期</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日历天，按合同约定实施和完成承包工程，修补工程中的任何缺陷。质量标准：</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40DF90BF">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2.我方承诺在投标有效期内不修改、撤销投标文件。</w:t>
      </w:r>
    </w:p>
    <w:p w14:paraId="43F0B3EB">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3.我方承认投标函附录是我方投标函的组成部分。投标人投标函与投标函附录不一致的，以投标函为准。</w:t>
      </w:r>
    </w:p>
    <w:p w14:paraId="702420C1">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 我方提交金额为人民币（大写）</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 的投标担保与本投标函同时递交。</w:t>
      </w:r>
    </w:p>
    <w:p w14:paraId="656676C1">
      <w:pPr>
        <w:spacing w:line="440" w:lineRule="exact"/>
        <w:ind w:firstLine="422" w:firstLineChars="200"/>
        <w:rPr>
          <w:rFonts w:ascii="宋体" w:hAnsi="宋体"/>
          <w:b/>
          <w:color w:val="auto"/>
          <w:highlight w:val="none"/>
        </w:rPr>
      </w:pPr>
      <w:r>
        <w:rPr>
          <w:rFonts w:hint="eastAsia" w:ascii="宋体" w:hAnsi="宋体"/>
          <w:b/>
          <w:color w:val="auto"/>
          <w:highlight w:val="none"/>
        </w:rPr>
        <w:t>其中：</w:t>
      </w:r>
    </w:p>
    <w:p w14:paraId="1A13C06F">
      <w:pPr>
        <w:pStyle w:val="9"/>
        <w:numPr>
          <w:ilvl w:val="0"/>
          <w:numId w:val="25"/>
        </w:numPr>
        <w:spacing w:line="440" w:lineRule="exact"/>
        <w:ind w:firstLine="422"/>
        <w:jc w:val="both"/>
        <w:rPr>
          <w:rFonts w:ascii="宋体" w:hAnsi="宋体"/>
          <w:bCs/>
          <w:color w:val="auto"/>
          <w:highlight w:val="none"/>
        </w:rPr>
      </w:pPr>
      <w:r>
        <w:rPr>
          <w:rFonts w:hint="eastAsia" w:ascii="宋体" w:hAnsi="宋体"/>
          <w:bCs/>
          <w:color w:val="auto"/>
          <w:highlight w:val="none"/>
        </w:rPr>
        <w:t>设计费投标报价为：</w:t>
      </w:r>
      <w:r>
        <w:rPr>
          <w:rFonts w:hint="eastAsia" w:ascii="宋体" w:hAnsi="宋体"/>
          <w:bCs/>
          <w:color w:val="auto"/>
          <w:szCs w:val="21"/>
          <w:highlight w:val="none"/>
        </w:rPr>
        <w:t>人民币（大写）</w:t>
      </w:r>
      <w:r>
        <w:rPr>
          <w:rFonts w:hint="eastAsia" w:ascii="宋体" w:hAnsi="宋体"/>
          <w:bCs/>
          <w:color w:val="auto"/>
          <w:highlight w:val="none"/>
          <w:u w:val="single"/>
        </w:rPr>
        <w:t xml:space="preserve">          </w:t>
      </w:r>
      <w:r>
        <w:rPr>
          <w:rFonts w:hint="eastAsia" w:ascii="宋体" w:hAnsi="宋体"/>
          <w:bCs/>
          <w:color w:val="auto"/>
          <w:highlight w:val="none"/>
        </w:rPr>
        <w:t>（</w:t>
      </w:r>
      <w:r>
        <w:rPr>
          <w:rFonts w:hint="eastAsia" w:ascii="宋体" w:hAnsi="宋体"/>
          <w:bCs/>
          <w:color w:val="auto"/>
          <w:szCs w:val="21"/>
          <w:highlight w:val="none"/>
        </w:rPr>
        <w:t>RMB￥：</w:t>
      </w:r>
      <w:r>
        <w:rPr>
          <w:rFonts w:hint="eastAsia" w:ascii="宋体" w:hAnsi="宋体"/>
          <w:bCs/>
          <w:color w:val="auto"/>
          <w:szCs w:val="21"/>
          <w:highlight w:val="none"/>
          <w:u w:val="single"/>
        </w:rPr>
        <w:t xml:space="preserve">          </w:t>
      </w:r>
      <w:r>
        <w:rPr>
          <w:rFonts w:hint="eastAsia" w:ascii="宋体" w:hAnsi="宋体" w:eastAsia="宋体" w:cs="宋体"/>
          <w:i w:val="0"/>
          <w:iCs w:val="0"/>
          <w:color w:val="auto"/>
          <w:spacing w:val="0"/>
          <w:sz w:val="21"/>
          <w:szCs w:val="21"/>
          <w:highlight w:val="none"/>
        </w:rPr>
        <w:t>万</w:t>
      </w:r>
      <w:r>
        <w:rPr>
          <w:rFonts w:hint="eastAsia" w:ascii="宋体" w:hAnsi="宋体"/>
          <w:bCs/>
          <w:color w:val="auto"/>
          <w:szCs w:val="21"/>
          <w:highlight w:val="none"/>
        </w:rPr>
        <w:t>元</w:t>
      </w:r>
      <w:r>
        <w:rPr>
          <w:rFonts w:hint="eastAsia" w:ascii="宋体" w:hAnsi="宋体"/>
          <w:bCs/>
          <w:color w:val="auto"/>
          <w:highlight w:val="none"/>
        </w:rPr>
        <w:t>）；</w:t>
      </w:r>
    </w:p>
    <w:p w14:paraId="54966B02">
      <w:pPr>
        <w:pStyle w:val="9"/>
        <w:numPr>
          <w:ilvl w:val="0"/>
          <w:numId w:val="25"/>
        </w:numPr>
        <w:spacing w:line="440" w:lineRule="exact"/>
        <w:ind w:firstLine="422"/>
        <w:jc w:val="both"/>
        <w:rPr>
          <w:rFonts w:hint="eastAsia"/>
          <w:color w:val="auto"/>
        </w:rPr>
      </w:pPr>
      <w:r>
        <w:rPr>
          <w:rFonts w:hint="eastAsia"/>
          <w:color w:val="auto"/>
          <w:highlight w:val="none"/>
        </w:rPr>
        <w:t>建安工程费</w:t>
      </w:r>
      <w:r>
        <w:rPr>
          <w:rFonts w:hint="eastAsia"/>
          <w:color w:val="auto"/>
          <w:highlight w:val="none"/>
          <w:lang w:eastAsia="zh-CN"/>
        </w:rPr>
        <w:t>（含</w:t>
      </w:r>
      <w:r>
        <w:rPr>
          <w:rFonts w:hint="eastAsia" w:ascii="宋体" w:hAnsi="宋体"/>
          <w:bCs/>
          <w:color w:val="auto"/>
          <w:highlight w:val="none"/>
        </w:rPr>
        <w:t>设备购置费</w:t>
      </w:r>
      <w:r>
        <w:rPr>
          <w:rFonts w:hint="eastAsia"/>
          <w:color w:val="auto"/>
          <w:highlight w:val="none"/>
          <w:lang w:eastAsia="zh-CN"/>
        </w:rPr>
        <w:t>）</w:t>
      </w:r>
      <w:r>
        <w:rPr>
          <w:rFonts w:hint="eastAsia" w:ascii="宋体" w:hAnsi="宋体"/>
          <w:bCs/>
          <w:color w:val="auto"/>
          <w:highlight w:val="none"/>
        </w:rPr>
        <w:t>投标报价为：</w:t>
      </w:r>
      <w:r>
        <w:rPr>
          <w:rFonts w:hint="eastAsia" w:ascii="宋体" w:hAnsi="宋体"/>
          <w:bCs/>
          <w:color w:val="auto"/>
          <w:szCs w:val="21"/>
          <w:highlight w:val="none"/>
        </w:rPr>
        <w:t>人民币（大写）</w:t>
      </w:r>
      <w:r>
        <w:rPr>
          <w:rFonts w:hint="eastAsia" w:ascii="宋体" w:hAnsi="宋体"/>
          <w:bCs/>
          <w:color w:val="auto"/>
          <w:highlight w:val="none"/>
          <w:u w:val="single"/>
        </w:rPr>
        <w:t xml:space="preserve">        </w:t>
      </w:r>
      <w:r>
        <w:rPr>
          <w:rFonts w:hint="eastAsia" w:ascii="宋体" w:hAnsi="宋体"/>
          <w:bCs/>
          <w:color w:val="auto"/>
          <w:highlight w:val="none"/>
        </w:rPr>
        <w:t>（</w:t>
      </w:r>
      <w:r>
        <w:rPr>
          <w:rFonts w:hint="eastAsia" w:ascii="宋体" w:hAnsi="宋体"/>
          <w:bCs/>
          <w:color w:val="auto"/>
          <w:szCs w:val="21"/>
          <w:highlight w:val="none"/>
        </w:rPr>
        <w:t>RMB￥：</w:t>
      </w:r>
      <w:r>
        <w:rPr>
          <w:rFonts w:hint="eastAsia" w:ascii="宋体" w:hAnsi="宋体"/>
          <w:bCs/>
          <w:color w:val="auto"/>
          <w:szCs w:val="21"/>
          <w:highlight w:val="none"/>
          <w:u w:val="single"/>
        </w:rPr>
        <w:t xml:space="preserve">        </w:t>
      </w:r>
      <w:r>
        <w:rPr>
          <w:rFonts w:hint="eastAsia" w:ascii="宋体" w:hAnsi="宋体" w:eastAsia="宋体" w:cs="宋体"/>
          <w:i w:val="0"/>
          <w:iCs w:val="0"/>
          <w:color w:val="auto"/>
          <w:spacing w:val="0"/>
          <w:sz w:val="21"/>
          <w:szCs w:val="21"/>
          <w:highlight w:val="none"/>
        </w:rPr>
        <w:t>万</w:t>
      </w:r>
      <w:r>
        <w:rPr>
          <w:rFonts w:hint="eastAsia" w:ascii="宋体" w:hAnsi="宋体"/>
          <w:bCs/>
          <w:color w:val="auto"/>
          <w:szCs w:val="21"/>
          <w:highlight w:val="none"/>
        </w:rPr>
        <w:t>元</w:t>
      </w:r>
      <w:r>
        <w:rPr>
          <w:rFonts w:hint="eastAsia" w:ascii="宋体" w:hAnsi="宋体"/>
          <w:bCs/>
          <w:color w:val="auto"/>
          <w:highlight w:val="none"/>
        </w:rPr>
        <w:t>）</w:t>
      </w:r>
      <w:r>
        <w:rPr>
          <w:rFonts w:eastAsia="Times New Roman"/>
          <w:color w:val="auto"/>
          <w:spacing w:val="5"/>
          <w:highlight w:val="none"/>
        </w:rPr>
        <w:t>[</w:t>
      </w:r>
      <w:r>
        <w:rPr>
          <w:rFonts w:hint="eastAsia"/>
          <w:color w:val="auto"/>
          <w:spacing w:val="5"/>
          <w:highlight w:val="none"/>
        </w:rPr>
        <w:t>其中</w:t>
      </w:r>
      <w:r>
        <w:rPr>
          <w:color w:val="auto"/>
          <w:highlight w:val="none"/>
        </w:rPr>
        <w:t>暂列金额</w:t>
      </w:r>
      <w:r>
        <w:rPr>
          <w:rFonts w:hint="eastAsia"/>
          <w:color w:val="auto"/>
          <w:highlight w:val="none"/>
          <w:u w:val="single"/>
        </w:rPr>
        <w:t xml:space="preserve">    </w:t>
      </w:r>
      <w:r>
        <w:rPr>
          <w:color w:val="auto"/>
          <w:highlight w:val="none"/>
        </w:rPr>
        <w:t>万元（含税）、暂估价</w:t>
      </w:r>
      <w:r>
        <w:rPr>
          <w:rFonts w:hint="eastAsia"/>
          <w:color w:val="auto"/>
          <w:highlight w:val="none"/>
          <w:u w:val="single"/>
        </w:rPr>
        <w:t xml:space="preserve">  </w:t>
      </w:r>
      <w:r>
        <w:rPr>
          <w:rFonts w:hint="eastAsia"/>
          <w:color w:val="auto"/>
          <w:highlight w:val="none"/>
          <w:u w:val="single"/>
          <w:lang w:val="en-US" w:eastAsia="zh-CN"/>
        </w:rPr>
        <w:t>/</w:t>
      </w:r>
      <w:r>
        <w:rPr>
          <w:rFonts w:hint="eastAsia"/>
          <w:color w:val="auto"/>
          <w:highlight w:val="none"/>
          <w:u w:val="single"/>
        </w:rPr>
        <w:t xml:space="preserve">  </w:t>
      </w:r>
      <w:r>
        <w:rPr>
          <w:color w:val="auto"/>
          <w:highlight w:val="none"/>
        </w:rPr>
        <w:t>万元（含税）报价时不予调整</w:t>
      </w:r>
      <w:r>
        <w:rPr>
          <w:rFonts w:eastAsia="Times New Roman"/>
          <w:color w:val="auto"/>
          <w:spacing w:val="2"/>
          <w:highlight w:val="none"/>
        </w:rPr>
        <w:t>]</w:t>
      </w:r>
      <w:r>
        <w:rPr>
          <w:rFonts w:hint="eastAsia"/>
          <w:color w:val="auto"/>
          <w:spacing w:val="2"/>
          <w:highlight w:val="none"/>
        </w:rPr>
        <w:t xml:space="preserve"> </w:t>
      </w:r>
      <w:r>
        <w:rPr>
          <w:rFonts w:hint="eastAsia"/>
          <w:color w:val="auto"/>
          <w:spacing w:val="2"/>
          <w:highlight w:val="none"/>
          <w:lang w:eastAsia="zh-CN"/>
        </w:rPr>
        <w:t>。</w:t>
      </w:r>
    </w:p>
    <w:p w14:paraId="484ABE35">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5.如我方中标：</w:t>
      </w:r>
    </w:p>
    <w:p w14:paraId="5AB24E3F">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(l）我方承诺在收到中标通知书后，在中标通知书规定期限内与你方签订合同。</w:t>
      </w:r>
    </w:p>
    <w:p w14:paraId="519A087F">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(2）随同本投标函递交的投标函附录属于合同文件的组成部分。</w:t>
      </w:r>
    </w:p>
    <w:p w14:paraId="28228430">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(3）我方承诺按照招标文件规定向你方递交履约担保。</w:t>
      </w:r>
    </w:p>
    <w:p w14:paraId="2E563805">
      <w:pPr>
        <w:keepNext w:val="0"/>
        <w:keepLines w:val="0"/>
        <w:pageBreakBefore w:val="0"/>
        <w:widowControl w:val="0"/>
        <w:kinsoku/>
        <w:wordWrap/>
        <w:overflowPunct/>
        <w:topLinePunct w:val="0"/>
        <w:autoSpaceDE/>
        <w:autoSpaceDN/>
        <w:bidi w:val="0"/>
        <w:adjustRightInd w:val="0"/>
        <w:snapToGrid w:val="0"/>
        <w:spacing w:line="440" w:lineRule="exact"/>
        <w:ind w:left="53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(4）我方承诺在合同约定的期限内完成并交付全部合同工程。</w:t>
      </w:r>
    </w:p>
    <w:p w14:paraId="56429193">
      <w:pPr>
        <w:keepNext w:val="0"/>
        <w:keepLines w:val="0"/>
        <w:pageBreakBefore w:val="0"/>
        <w:widowControl w:val="0"/>
        <w:kinsoku/>
        <w:wordWrap/>
        <w:overflowPunct/>
        <w:topLinePunct w:val="0"/>
        <w:autoSpaceDE/>
        <w:autoSpaceDN/>
        <w:bidi w:val="0"/>
        <w:adjustRightInd w:val="0"/>
        <w:snapToGrid w:val="0"/>
        <w:spacing w:line="440" w:lineRule="exact"/>
        <w:ind w:left="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6.我方在此声明，所递交的投标文件及有关资料内容完整、真实和准确，且不存在第二</w:t>
      </w:r>
    </w:p>
    <w:p w14:paraId="6C8B0ADB">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章“投标人须知 ”第1.4.3规定的任何一种情形。</w:t>
      </w:r>
    </w:p>
    <w:p w14:paraId="1ED0C22C">
      <w:pPr>
        <w:keepNext w:val="0"/>
        <w:keepLines w:val="0"/>
        <w:pageBreakBefore w:val="0"/>
        <w:widowControl w:val="0"/>
        <w:kinsoku/>
        <w:wordWrap/>
        <w:overflowPunct/>
        <w:topLinePunct w:val="0"/>
        <w:autoSpaceDE/>
        <w:autoSpaceDN/>
        <w:bidi w:val="0"/>
        <w:adjustRightInd w:val="0"/>
        <w:snapToGrid w:val="0"/>
        <w:spacing w:line="440" w:lineRule="exact"/>
        <w:ind w:left="4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 □本次投标为联合体投标，我方为联合体牵头人，联合体成员包括</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71D1636C">
      <w:pPr>
        <w:keepNext w:val="0"/>
        <w:keepLines w:val="0"/>
        <w:pageBreakBefore w:val="0"/>
        <w:widowControl w:val="0"/>
        <w:kinsoku/>
        <w:wordWrap/>
        <w:overflowPunct/>
        <w:topLinePunct w:val="0"/>
        <w:autoSpaceDE/>
        <w:autoSpaceDN/>
        <w:bidi w:val="0"/>
        <w:adjustRightInd w:val="0"/>
        <w:snapToGrid w:val="0"/>
        <w:spacing w:line="440" w:lineRule="exact"/>
        <w:ind w:left="49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（招标人可补充其他说明）</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463A5EA6">
      <w:pPr>
        <w:keepNext w:val="0"/>
        <w:keepLines w:val="0"/>
        <w:pageBreakBefore w:val="0"/>
        <w:widowControl w:val="0"/>
        <w:kinsoku/>
        <w:wordWrap/>
        <w:overflowPunct/>
        <w:topLinePunct w:val="0"/>
        <w:autoSpaceDE/>
        <w:autoSpaceDN/>
        <w:bidi w:val="0"/>
        <w:adjustRightInd w:val="0"/>
        <w:snapToGrid w:val="0"/>
        <w:spacing w:line="440" w:lineRule="exact"/>
        <w:ind w:left="43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（单位盖章）</w:t>
      </w:r>
    </w:p>
    <w:p w14:paraId="6B85A465">
      <w:pPr>
        <w:keepNext w:val="0"/>
        <w:keepLines w:val="0"/>
        <w:pageBreakBefore w:val="0"/>
        <w:widowControl w:val="0"/>
        <w:kinsoku/>
        <w:wordWrap/>
        <w:overflowPunct/>
        <w:topLinePunct w:val="0"/>
        <w:autoSpaceDE/>
        <w:autoSpaceDN/>
        <w:bidi w:val="0"/>
        <w:adjustRightInd w:val="0"/>
        <w:snapToGrid w:val="0"/>
        <w:spacing w:line="440" w:lineRule="exact"/>
        <w:ind w:left="2410"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法定代表人或委托代理人：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（签字或盖章）</w:t>
      </w:r>
    </w:p>
    <w:p w14:paraId="3BB5433A">
      <w:pPr>
        <w:keepNext w:val="0"/>
        <w:keepLines w:val="0"/>
        <w:pageBreakBefore w:val="0"/>
        <w:widowControl w:val="0"/>
        <w:kinsoku/>
        <w:wordWrap/>
        <w:overflowPunct/>
        <w:topLinePunct w:val="0"/>
        <w:autoSpaceDE/>
        <w:autoSpaceDN/>
        <w:bidi w:val="0"/>
        <w:adjustRightInd w:val="0"/>
        <w:snapToGrid w:val="0"/>
        <w:spacing w:line="440" w:lineRule="exact"/>
        <w:ind w:left="433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2F1565CA">
      <w:pPr>
        <w:keepNext w:val="0"/>
        <w:keepLines w:val="0"/>
        <w:pageBreakBefore w:val="0"/>
        <w:widowControl w:val="0"/>
        <w:kinsoku/>
        <w:wordWrap/>
        <w:overflowPunct/>
        <w:topLinePunct w:val="0"/>
        <w:autoSpaceDE/>
        <w:autoSpaceDN/>
        <w:bidi w:val="0"/>
        <w:adjustRightInd w:val="0"/>
        <w:snapToGrid w:val="0"/>
        <w:spacing w:line="440" w:lineRule="exact"/>
        <w:ind w:left="433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联系地址：</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19E28F9D">
      <w:pPr>
        <w:keepNext w:val="0"/>
        <w:keepLines w:val="0"/>
        <w:pageBreakBefore w:val="0"/>
        <w:widowControl w:val="0"/>
        <w:kinsoku/>
        <w:wordWrap/>
        <w:overflowPunct/>
        <w:topLinePunct w:val="0"/>
        <w:autoSpaceDE/>
        <w:autoSpaceDN/>
        <w:bidi w:val="0"/>
        <w:adjustRightInd w:val="0"/>
        <w:snapToGrid w:val="0"/>
        <w:spacing w:line="440" w:lineRule="exact"/>
        <w:ind w:left="435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电话：</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013AAFD1">
      <w:pPr>
        <w:keepNext w:val="0"/>
        <w:keepLines w:val="0"/>
        <w:pageBreakBefore w:val="0"/>
        <w:widowControl w:val="0"/>
        <w:kinsoku/>
        <w:wordWrap/>
        <w:overflowPunct/>
        <w:topLinePunct w:val="0"/>
        <w:autoSpaceDE/>
        <w:autoSpaceDN/>
        <w:bidi w:val="0"/>
        <w:adjustRightInd w:val="0"/>
        <w:snapToGrid w:val="0"/>
        <w:spacing w:line="440" w:lineRule="exact"/>
        <w:ind w:left="434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邮编：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51E20FDF">
      <w:pPr>
        <w:keepNext w:val="0"/>
        <w:keepLines w:val="0"/>
        <w:pageBreakBefore w:val="0"/>
        <w:widowControl w:val="0"/>
        <w:tabs>
          <w:tab w:val="left" w:pos="6077"/>
        </w:tabs>
        <w:kinsoku/>
        <w:wordWrap/>
        <w:overflowPunct/>
        <w:topLinePunct w:val="0"/>
        <w:autoSpaceDE/>
        <w:autoSpaceDN/>
        <w:bidi w:val="0"/>
        <w:adjustRightInd w:val="0"/>
        <w:snapToGrid w:val="0"/>
        <w:spacing w:line="440" w:lineRule="exact"/>
        <w:ind w:left="54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p>
    <w:p w14:paraId="7F3AC06B">
      <w:pPr>
        <w:keepNext w:val="0"/>
        <w:keepLines w:val="0"/>
        <w:pageBreakBefore w:val="0"/>
        <w:widowControl w:val="0"/>
        <w:kinsoku/>
        <w:wordWrap/>
        <w:overflowPunct/>
        <w:topLinePunct w:val="0"/>
        <w:autoSpaceDE/>
        <w:autoSpaceDN/>
        <w:bidi w:val="0"/>
        <w:adjustRightInd w:val="0"/>
        <w:snapToGrid w:val="0"/>
        <w:spacing w:line="44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4" w:type="default"/>
          <w:pgSz w:w="11850" w:h="16783"/>
          <w:pgMar w:top="1134" w:right="1134" w:bottom="1134" w:left="1134" w:header="0" w:footer="992" w:gutter="0"/>
          <w:pgNumType w:fmt="decimal"/>
          <w:cols w:space="720" w:num="1"/>
        </w:sectPr>
      </w:pPr>
    </w:p>
    <w:p w14:paraId="6C33D942">
      <w:pPr>
        <w:keepNext w:val="0"/>
        <w:keepLines w:val="0"/>
        <w:pageBreakBefore w:val="0"/>
        <w:widowControl w:val="0"/>
        <w:kinsoku/>
        <w:wordWrap/>
        <w:overflowPunct/>
        <w:topLinePunct w:val="0"/>
        <w:autoSpaceDE/>
        <w:autoSpaceDN/>
        <w:bidi w:val="0"/>
        <w:adjustRightInd w:val="0"/>
        <w:snapToGrid w:val="0"/>
        <w:spacing w:before="71" w:line="400" w:lineRule="exact"/>
        <w:ind w:left="362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投标函附录</w:t>
      </w:r>
    </w:p>
    <w:tbl>
      <w:tblPr>
        <w:tblStyle w:val="60"/>
        <w:tblW w:w="880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3058"/>
        <w:gridCol w:w="1104"/>
        <w:gridCol w:w="2215"/>
        <w:gridCol w:w="1704"/>
      </w:tblGrid>
      <w:tr w14:paraId="38259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7" w:hRule="atLeast"/>
          <w:jc w:val="center"/>
        </w:trPr>
        <w:tc>
          <w:tcPr>
            <w:tcW w:w="724" w:type="dxa"/>
            <w:vAlign w:val="top"/>
          </w:tcPr>
          <w:p w14:paraId="434A351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7B26896">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2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序号</w:t>
            </w:r>
          </w:p>
        </w:tc>
        <w:tc>
          <w:tcPr>
            <w:tcW w:w="3058" w:type="dxa"/>
            <w:vAlign w:val="top"/>
          </w:tcPr>
          <w:p w14:paraId="7C0E5DB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4A6591D">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0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项目内容</w:t>
            </w:r>
          </w:p>
        </w:tc>
        <w:tc>
          <w:tcPr>
            <w:tcW w:w="1104" w:type="dxa"/>
            <w:vAlign w:val="top"/>
          </w:tcPr>
          <w:p w14:paraId="0E94D6C7">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9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32"/>
                <w:sz w:val="21"/>
                <w:szCs w:val="21"/>
                <w:highlight w:val="none"/>
                <w14:textFill>
                  <w14:solidFill>
                    <w14:schemeClr w14:val="tx1"/>
                  </w14:solidFill>
                </w14:textFill>
              </w:rPr>
              <w:t>合同条</w:t>
            </w:r>
          </w:p>
          <w:p w14:paraId="618CDD5A">
            <w:pPr>
              <w:pStyle w:val="43"/>
              <w:keepNext w:val="0"/>
              <w:keepLines w:val="0"/>
              <w:pageBreakBefore w:val="0"/>
              <w:widowControl w:val="0"/>
              <w:kinsoku/>
              <w:wordWrap/>
              <w:overflowPunct/>
              <w:topLinePunct w:val="0"/>
              <w:autoSpaceDE/>
              <w:autoSpaceDN/>
              <w:bidi w:val="0"/>
              <w:adjustRightInd w:val="0"/>
              <w:snapToGrid w:val="0"/>
              <w:spacing w:before="1" w:line="400" w:lineRule="exact"/>
              <w:ind w:left="31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款号</w:t>
            </w:r>
          </w:p>
        </w:tc>
        <w:tc>
          <w:tcPr>
            <w:tcW w:w="2215" w:type="dxa"/>
            <w:vAlign w:val="top"/>
          </w:tcPr>
          <w:p w14:paraId="7C91C4F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1BB8D16">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64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约定内容</w:t>
            </w:r>
          </w:p>
        </w:tc>
        <w:tc>
          <w:tcPr>
            <w:tcW w:w="1704" w:type="dxa"/>
            <w:vAlign w:val="top"/>
          </w:tcPr>
          <w:p w14:paraId="3E2F3E5E">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3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优于招标条件</w:t>
            </w:r>
          </w:p>
          <w:p w14:paraId="5422CCC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D29024F">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38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b/>
                <w:bCs/>
                <w:i w:val="0"/>
                <w:iCs w:val="0"/>
                <w:color w:val="000000" w:themeColor="text1"/>
                <w:spacing w:val="0"/>
                <w:sz w:val="21"/>
                <w:szCs w:val="21"/>
                <w:highlight w:val="none"/>
                <w14:textFill>
                  <w14:solidFill>
                    <w14:schemeClr w14:val="tx1"/>
                  </w14:solidFill>
                </w14:textFill>
              </w:rPr>
              <w:t>（如有）</w:t>
            </w:r>
          </w:p>
        </w:tc>
      </w:tr>
      <w:tr w14:paraId="7BDA8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jc w:val="center"/>
        </w:trPr>
        <w:tc>
          <w:tcPr>
            <w:tcW w:w="724" w:type="dxa"/>
            <w:vAlign w:val="top"/>
          </w:tcPr>
          <w:p w14:paraId="691A13E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39BA778">
            <w:pPr>
              <w:keepNext w:val="0"/>
              <w:keepLines w:val="0"/>
              <w:pageBreakBefore w:val="0"/>
              <w:widowControl w:val="0"/>
              <w:kinsoku/>
              <w:wordWrap/>
              <w:overflowPunct/>
              <w:topLinePunct w:val="0"/>
              <w:autoSpaceDE/>
              <w:autoSpaceDN/>
              <w:bidi w:val="0"/>
              <w:adjustRightInd w:val="0"/>
              <w:snapToGrid w:val="0"/>
              <w:spacing w:before="73" w:line="400" w:lineRule="exact"/>
              <w:ind w:left="31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w:t>
            </w:r>
          </w:p>
        </w:tc>
        <w:tc>
          <w:tcPr>
            <w:tcW w:w="3058" w:type="dxa"/>
            <w:vAlign w:val="top"/>
          </w:tcPr>
          <w:p w14:paraId="68EE3BB9">
            <w:pPr>
              <w:pStyle w:val="43"/>
              <w:keepNext w:val="0"/>
              <w:keepLines w:val="0"/>
              <w:pageBreakBefore w:val="0"/>
              <w:widowControl w:val="0"/>
              <w:kinsoku/>
              <w:wordWrap/>
              <w:overflowPunct/>
              <w:topLinePunct w:val="0"/>
              <w:autoSpaceDE/>
              <w:autoSpaceDN/>
              <w:bidi w:val="0"/>
              <w:adjustRightInd w:val="0"/>
              <w:snapToGrid w:val="0"/>
              <w:spacing w:before="43"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履约担保</w:t>
            </w:r>
          </w:p>
          <w:p w14:paraId="2FF358F6">
            <w:pPr>
              <w:pStyle w:val="43"/>
              <w:keepNext w:val="0"/>
              <w:keepLines w:val="0"/>
              <w:pageBreakBefore w:val="0"/>
              <w:widowControl w:val="0"/>
              <w:kinsoku/>
              <w:wordWrap/>
              <w:overflowPunct/>
              <w:topLinePunct w:val="0"/>
              <w:autoSpaceDE/>
              <w:autoSpaceDN/>
              <w:bidi w:val="0"/>
              <w:adjustRightInd w:val="0"/>
              <w:snapToGrid w:val="0"/>
              <w:spacing w:before="40" w:line="400" w:lineRule="exact"/>
              <w:ind w:left="11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银行保函金额</w:t>
            </w:r>
          </w:p>
          <w:p w14:paraId="011AF71B">
            <w:pPr>
              <w:pStyle w:val="43"/>
              <w:keepNext w:val="0"/>
              <w:keepLines w:val="0"/>
              <w:pageBreakBefore w:val="0"/>
              <w:widowControl w:val="0"/>
              <w:kinsoku/>
              <w:wordWrap/>
              <w:overflowPunct/>
              <w:topLinePunct w:val="0"/>
              <w:autoSpaceDE/>
              <w:autoSpaceDN/>
              <w:bidi w:val="0"/>
              <w:adjustRightInd w:val="0"/>
              <w:snapToGrid w:val="0"/>
              <w:spacing w:before="41" w:line="400" w:lineRule="exact"/>
              <w:ind w:left="116"/>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履约担保书金额</w:t>
            </w:r>
          </w:p>
        </w:tc>
        <w:tc>
          <w:tcPr>
            <w:tcW w:w="1104" w:type="dxa"/>
            <w:vAlign w:val="top"/>
          </w:tcPr>
          <w:p w14:paraId="50E4D7C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70152FE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9BA07C6">
            <w:pPr>
              <w:pStyle w:val="43"/>
              <w:keepNext w:val="0"/>
              <w:keepLines w:val="0"/>
              <w:pageBreakBefore w:val="0"/>
              <w:widowControl w:val="0"/>
              <w:kinsoku/>
              <w:wordWrap/>
              <w:overflowPunct/>
              <w:topLinePunct w:val="0"/>
              <w:autoSpaceDE/>
              <w:autoSpaceDN/>
              <w:bidi w:val="0"/>
              <w:adjustRightInd w:val="0"/>
              <w:snapToGrid w:val="0"/>
              <w:spacing w:before="78"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341F9BA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A0DB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724" w:type="dxa"/>
            <w:vAlign w:val="top"/>
          </w:tcPr>
          <w:p w14:paraId="5D3A01B9">
            <w:pPr>
              <w:keepNext w:val="0"/>
              <w:keepLines w:val="0"/>
              <w:pageBreakBefore w:val="0"/>
              <w:widowControl w:val="0"/>
              <w:kinsoku/>
              <w:wordWrap/>
              <w:overflowPunct/>
              <w:topLinePunct w:val="0"/>
              <w:autoSpaceDE/>
              <w:autoSpaceDN/>
              <w:bidi w:val="0"/>
              <w:adjustRightInd w:val="0"/>
              <w:snapToGrid w:val="0"/>
              <w:spacing w:before="277" w:line="400" w:lineRule="exact"/>
              <w:ind w:left="3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w:t>
            </w:r>
          </w:p>
        </w:tc>
        <w:tc>
          <w:tcPr>
            <w:tcW w:w="3058" w:type="dxa"/>
            <w:vAlign w:val="top"/>
          </w:tcPr>
          <w:p w14:paraId="4B4B6BDD">
            <w:pPr>
              <w:pStyle w:val="43"/>
              <w:keepNext w:val="0"/>
              <w:keepLines w:val="0"/>
              <w:pageBreakBefore w:val="0"/>
              <w:widowControl w:val="0"/>
              <w:kinsoku/>
              <w:wordWrap/>
              <w:overflowPunct/>
              <w:topLinePunct w:val="0"/>
              <w:autoSpaceDE/>
              <w:autoSpaceDN/>
              <w:bidi w:val="0"/>
              <w:adjustRightInd w:val="0"/>
              <w:snapToGrid w:val="0"/>
              <w:spacing w:before="229" w:line="400" w:lineRule="exact"/>
              <w:ind w:left="11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施工准备时间</w:t>
            </w:r>
          </w:p>
        </w:tc>
        <w:tc>
          <w:tcPr>
            <w:tcW w:w="1104" w:type="dxa"/>
            <w:vAlign w:val="top"/>
          </w:tcPr>
          <w:p w14:paraId="3A44998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765EE49F">
            <w:pPr>
              <w:pStyle w:val="43"/>
              <w:keepNext w:val="0"/>
              <w:keepLines w:val="0"/>
              <w:pageBreakBefore w:val="0"/>
              <w:widowControl w:val="0"/>
              <w:kinsoku/>
              <w:wordWrap/>
              <w:overflowPunct/>
              <w:topLinePunct w:val="0"/>
              <w:autoSpaceDE/>
              <w:autoSpaceDN/>
              <w:bidi w:val="0"/>
              <w:adjustRightInd w:val="0"/>
              <w:snapToGrid w:val="0"/>
              <w:spacing w:before="230"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3B76A52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245C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724" w:type="dxa"/>
            <w:vAlign w:val="top"/>
          </w:tcPr>
          <w:p w14:paraId="5F9A8A94">
            <w:pPr>
              <w:keepNext w:val="0"/>
              <w:keepLines w:val="0"/>
              <w:pageBreakBefore w:val="0"/>
              <w:widowControl w:val="0"/>
              <w:kinsoku/>
              <w:wordWrap/>
              <w:overflowPunct/>
              <w:topLinePunct w:val="0"/>
              <w:autoSpaceDE/>
              <w:autoSpaceDN/>
              <w:bidi w:val="0"/>
              <w:adjustRightInd w:val="0"/>
              <w:snapToGrid w:val="0"/>
              <w:spacing w:before="255" w:line="400" w:lineRule="exact"/>
              <w:ind w:left="31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w:t>
            </w:r>
          </w:p>
        </w:tc>
        <w:tc>
          <w:tcPr>
            <w:tcW w:w="3058" w:type="dxa"/>
            <w:vAlign w:val="top"/>
          </w:tcPr>
          <w:p w14:paraId="2BD12580">
            <w:pPr>
              <w:pStyle w:val="43"/>
              <w:keepNext w:val="0"/>
              <w:keepLines w:val="0"/>
              <w:pageBreakBefore w:val="0"/>
              <w:widowControl w:val="0"/>
              <w:kinsoku/>
              <w:wordWrap/>
              <w:overflowPunct/>
              <w:topLinePunct w:val="0"/>
              <w:autoSpaceDE/>
              <w:autoSpaceDN/>
              <w:bidi w:val="0"/>
              <w:adjustRightInd w:val="0"/>
              <w:snapToGrid w:val="0"/>
              <w:spacing w:before="208" w:line="400" w:lineRule="exact"/>
              <w:ind w:left="11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误期违约金额</w:t>
            </w:r>
          </w:p>
        </w:tc>
        <w:tc>
          <w:tcPr>
            <w:tcW w:w="1104" w:type="dxa"/>
            <w:vAlign w:val="top"/>
          </w:tcPr>
          <w:p w14:paraId="4165A68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5CC198E2">
            <w:pPr>
              <w:pStyle w:val="43"/>
              <w:keepNext w:val="0"/>
              <w:keepLines w:val="0"/>
              <w:pageBreakBefore w:val="0"/>
              <w:widowControl w:val="0"/>
              <w:kinsoku/>
              <w:wordWrap/>
              <w:overflowPunct/>
              <w:topLinePunct w:val="0"/>
              <w:autoSpaceDE/>
              <w:autoSpaceDN/>
              <w:bidi w:val="0"/>
              <w:adjustRightInd w:val="0"/>
              <w:snapToGrid w:val="0"/>
              <w:spacing w:before="208"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6FCDE49A">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B703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2945F6A0">
            <w:pPr>
              <w:keepNext w:val="0"/>
              <w:keepLines w:val="0"/>
              <w:pageBreakBefore w:val="0"/>
              <w:widowControl w:val="0"/>
              <w:kinsoku/>
              <w:wordWrap/>
              <w:overflowPunct/>
              <w:topLinePunct w:val="0"/>
              <w:autoSpaceDE/>
              <w:autoSpaceDN/>
              <w:bidi w:val="0"/>
              <w:adjustRightInd w:val="0"/>
              <w:snapToGrid w:val="0"/>
              <w:spacing w:before="257" w:line="400" w:lineRule="exact"/>
              <w:ind w:left="30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w:t>
            </w:r>
          </w:p>
        </w:tc>
        <w:tc>
          <w:tcPr>
            <w:tcW w:w="3058" w:type="dxa"/>
            <w:vAlign w:val="top"/>
          </w:tcPr>
          <w:p w14:paraId="07D47FD9">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误期赔偿费限额</w:t>
            </w:r>
          </w:p>
        </w:tc>
        <w:tc>
          <w:tcPr>
            <w:tcW w:w="1104" w:type="dxa"/>
            <w:vAlign w:val="top"/>
          </w:tcPr>
          <w:p w14:paraId="704B35CF">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2B6B96FB">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253E368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96F7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724" w:type="dxa"/>
            <w:vAlign w:val="top"/>
          </w:tcPr>
          <w:p w14:paraId="7B8F5E36">
            <w:pPr>
              <w:keepNext w:val="0"/>
              <w:keepLines w:val="0"/>
              <w:pageBreakBefore w:val="0"/>
              <w:widowControl w:val="0"/>
              <w:kinsoku/>
              <w:wordWrap/>
              <w:overflowPunct/>
              <w:topLinePunct w:val="0"/>
              <w:autoSpaceDE/>
              <w:autoSpaceDN/>
              <w:bidi w:val="0"/>
              <w:adjustRightInd w:val="0"/>
              <w:snapToGrid w:val="0"/>
              <w:spacing w:before="257" w:line="400" w:lineRule="exact"/>
              <w:ind w:left="31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w:t>
            </w:r>
          </w:p>
        </w:tc>
        <w:tc>
          <w:tcPr>
            <w:tcW w:w="3058" w:type="dxa"/>
            <w:vAlign w:val="top"/>
          </w:tcPr>
          <w:p w14:paraId="475E841C">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提前工期奖</w:t>
            </w:r>
          </w:p>
        </w:tc>
        <w:tc>
          <w:tcPr>
            <w:tcW w:w="1104" w:type="dxa"/>
            <w:vAlign w:val="top"/>
          </w:tcPr>
          <w:p w14:paraId="48AF062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20E59B1B">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2C0E0DC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6C528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350A1D8D">
            <w:pPr>
              <w:keepNext w:val="0"/>
              <w:keepLines w:val="0"/>
              <w:pageBreakBefore w:val="0"/>
              <w:widowControl w:val="0"/>
              <w:kinsoku/>
              <w:wordWrap/>
              <w:overflowPunct/>
              <w:topLinePunct w:val="0"/>
              <w:autoSpaceDE/>
              <w:autoSpaceDN/>
              <w:bidi w:val="0"/>
              <w:adjustRightInd w:val="0"/>
              <w:snapToGrid w:val="0"/>
              <w:spacing w:before="257" w:line="400" w:lineRule="exact"/>
              <w:ind w:left="31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w:t>
            </w:r>
          </w:p>
        </w:tc>
        <w:tc>
          <w:tcPr>
            <w:tcW w:w="3058" w:type="dxa"/>
            <w:vAlign w:val="top"/>
          </w:tcPr>
          <w:p w14:paraId="3C8C3752">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创优质工程（如有）</w:t>
            </w:r>
          </w:p>
        </w:tc>
        <w:tc>
          <w:tcPr>
            <w:tcW w:w="1104" w:type="dxa"/>
            <w:vAlign w:val="top"/>
          </w:tcPr>
          <w:p w14:paraId="4AB1518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627E78E1">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67E49FF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76682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62D6F543">
            <w:pPr>
              <w:keepNext w:val="0"/>
              <w:keepLines w:val="0"/>
              <w:pageBreakBefore w:val="0"/>
              <w:widowControl w:val="0"/>
              <w:kinsoku/>
              <w:wordWrap/>
              <w:overflowPunct/>
              <w:topLinePunct w:val="0"/>
              <w:autoSpaceDE/>
              <w:autoSpaceDN/>
              <w:bidi w:val="0"/>
              <w:adjustRightInd w:val="0"/>
              <w:snapToGrid w:val="0"/>
              <w:spacing w:before="258" w:line="400" w:lineRule="exact"/>
              <w:ind w:left="31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w:t>
            </w:r>
          </w:p>
        </w:tc>
        <w:tc>
          <w:tcPr>
            <w:tcW w:w="3058" w:type="dxa"/>
            <w:vAlign w:val="top"/>
          </w:tcPr>
          <w:p w14:paraId="2A9AE63F">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1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工程质量违约金最高金额</w:t>
            </w:r>
          </w:p>
        </w:tc>
        <w:tc>
          <w:tcPr>
            <w:tcW w:w="1104" w:type="dxa"/>
            <w:vAlign w:val="top"/>
          </w:tcPr>
          <w:p w14:paraId="54454F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74949286">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6565666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29020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417B4197">
            <w:pPr>
              <w:keepNext w:val="0"/>
              <w:keepLines w:val="0"/>
              <w:pageBreakBefore w:val="0"/>
              <w:widowControl w:val="0"/>
              <w:kinsoku/>
              <w:wordWrap/>
              <w:overflowPunct/>
              <w:topLinePunct w:val="0"/>
              <w:autoSpaceDE/>
              <w:autoSpaceDN/>
              <w:bidi w:val="0"/>
              <w:adjustRightInd w:val="0"/>
              <w:snapToGrid w:val="0"/>
              <w:spacing w:before="256" w:line="400" w:lineRule="exact"/>
              <w:ind w:left="30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w:t>
            </w:r>
          </w:p>
        </w:tc>
        <w:tc>
          <w:tcPr>
            <w:tcW w:w="3058" w:type="dxa"/>
            <w:vAlign w:val="top"/>
          </w:tcPr>
          <w:p w14:paraId="5A07204F">
            <w:pPr>
              <w:pStyle w:val="43"/>
              <w:keepNext w:val="0"/>
              <w:keepLines w:val="0"/>
              <w:pageBreakBefore w:val="0"/>
              <w:widowControl w:val="0"/>
              <w:kinsoku/>
              <w:wordWrap/>
              <w:overflowPunct/>
              <w:topLinePunct w:val="0"/>
              <w:autoSpaceDE/>
              <w:autoSpaceDN/>
              <w:bidi w:val="0"/>
              <w:adjustRightInd w:val="0"/>
              <w:snapToGrid w:val="0"/>
              <w:spacing w:before="212" w:line="400" w:lineRule="exact"/>
              <w:ind w:left="11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预付款金额</w:t>
            </w:r>
          </w:p>
        </w:tc>
        <w:tc>
          <w:tcPr>
            <w:tcW w:w="1104" w:type="dxa"/>
            <w:vAlign w:val="top"/>
          </w:tcPr>
          <w:p w14:paraId="1F0D84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4DA83FC5">
            <w:pPr>
              <w:pStyle w:val="43"/>
              <w:keepNext w:val="0"/>
              <w:keepLines w:val="0"/>
              <w:pageBreakBefore w:val="0"/>
              <w:widowControl w:val="0"/>
              <w:kinsoku/>
              <w:wordWrap/>
              <w:overflowPunct/>
              <w:topLinePunct w:val="0"/>
              <w:autoSpaceDE/>
              <w:autoSpaceDN/>
              <w:bidi w:val="0"/>
              <w:adjustRightInd w:val="0"/>
              <w:snapToGrid w:val="0"/>
              <w:spacing w:before="212"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5CB61E5D">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A02C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785CFD99">
            <w:pPr>
              <w:keepNext w:val="0"/>
              <w:keepLines w:val="0"/>
              <w:pageBreakBefore w:val="0"/>
              <w:widowControl w:val="0"/>
              <w:kinsoku/>
              <w:wordWrap/>
              <w:overflowPunct/>
              <w:topLinePunct w:val="0"/>
              <w:autoSpaceDE/>
              <w:autoSpaceDN/>
              <w:bidi w:val="0"/>
              <w:adjustRightInd w:val="0"/>
              <w:snapToGrid w:val="0"/>
              <w:spacing w:before="257" w:line="400" w:lineRule="exact"/>
              <w:ind w:left="30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9</w:t>
            </w:r>
          </w:p>
        </w:tc>
        <w:tc>
          <w:tcPr>
            <w:tcW w:w="3058" w:type="dxa"/>
            <w:vAlign w:val="top"/>
          </w:tcPr>
          <w:p w14:paraId="698DFC3C">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预付款保函金额</w:t>
            </w:r>
          </w:p>
        </w:tc>
        <w:tc>
          <w:tcPr>
            <w:tcW w:w="1104" w:type="dxa"/>
            <w:vAlign w:val="top"/>
          </w:tcPr>
          <w:p w14:paraId="18E9026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2A3DCF62">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6EC82EA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79DE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60FD47D0">
            <w:pPr>
              <w:keepNext w:val="0"/>
              <w:keepLines w:val="0"/>
              <w:pageBreakBefore w:val="0"/>
              <w:widowControl w:val="0"/>
              <w:kinsoku/>
              <w:wordWrap/>
              <w:overflowPunct/>
              <w:topLinePunct w:val="0"/>
              <w:autoSpaceDE/>
              <w:autoSpaceDN/>
              <w:bidi w:val="0"/>
              <w:adjustRightInd w:val="0"/>
              <w:snapToGrid w:val="0"/>
              <w:spacing w:before="255" w:line="400" w:lineRule="exact"/>
              <w:ind w:left="2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w:t>
            </w:r>
          </w:p>
        </w:tc>
        <w:tc>
          <w:tcPr>
            <w:tcW w:w="3058" w:type="dxa"/>
            <w:vAlign w:val="top"/>
          </w:tcPr>
          <w:p w14:paraId="538E846B">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1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进度款付款金额</w:t>
            </w:r>
          </w:p>
        </w:tc>
        <w:tc>
          <w:tcPr>
            <w:tcW w:w="1104" w:type="dxa"/>
            <w:vAlign w:val="top"/>
          </w:tcPr>
          <w:p w14:paraId="196F2B4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59525124">
            <w:pPr>
              <w:pStyle w:val="43"/>
              <w:keepNext w:val="0"/>
              <w:keepLines w:val="0"/>
              <w:pageBreakBefore w:val="0"/>
              <w:widowControl w:val="0"/>
              <w:kinsoku/>
              <w:wordWrap/>
              <w:overflowPunct/>
              <w:topLinePunct w:val="0"/>
              <w:autoSpaceDE/>
              <w:autoSpaceDN/>
              <w:bidi w:val="0"/>
              <w:adjustRightInd w:val="0"/>
              <w:snapToGrid w:val="0"/>
              <w:spacing w:before="211"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3BB6096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36E10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724" w:type="dxa"/>
            <w:vAlign w:val="top"/>
          </w:tcPr>
          <w:p w14:paraId="205D7B04">
            <w:pPr>
              <w:keepNext w:val="0"/>
              <w:keepLines w:val="0"/>
              <w:pageBreakBefore w:val="0"/>
              <w:widowControl w:val="0"/>
              <w:kinsoku/>
              <w:wordWrap/>
              <w:overflowPunct/>
              <w:topLinePunct w:val="0"/>
              <w:autoSpaceDE/>
              <w:autoSpaceDN/>
              <w:bidi w:val="0"/>
              <w:adjustRightInd w:val="0"/>
              <w:snapToGrid w:val="0"/>
              <w:spacing w:before="257" w:line="400" w:lineRule="exact"/>
              <w:ind w:left="2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w:t>
            </w:r>
          </w:p>
        </w:tc>
        <w:tc>
          <w:tcPr>
            <w:tcW w:w="3058" w:type="dxa"/>
            <w:vAlign w:val="top"/>
          </w:tcPr>
          <w:p w14:paraId="66ECC27E">
            <w:pPr>
              <w:pStyle w:val="43"/>
              <w:keepNext w:val="0"/>
              <w:keepLines w:val="0"/>
              <w:pageBreakBefore w:val="0"/>
              <w:widowControl w:val="0"/>
              <w:kinsoku/>
              <w:wordWrap/>
              <w:overflowPunct/>
              <w:topLinePunct w:val="0"/>
              <w:autoSpaceDE/>
              <w:autoSpaceDN/>
              <w:bidi w:val="0"/>
              <w:adjustRightInd w:val="0"/>
              <w:snapToGrid w:val="0"/>
              <w:spacing w:before="212" w:line="400" w:lineRule="exact"/>
              <w:ind w:left="11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竣工结算款付款时间</w:t>
            </w:r>
          </w:p>
        </w:tc>
        <w:tc>
          <w:tcPr>
            <w:tcW w:w="1104" w:type="dxa"/>
            <w:vAlign w:val="top"/>
          </w:tcPr>
          <w:p w14:paraId="2FCAA1D9">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50F88287">
            <w:pPr>
              <w:pStyle w:val="43"/>
              <w:keepNext w:val="0"/>
              <w:keepLines w:val="0"/>
              <w:pageBreakBefore w:val="0"/>
              <w:widowControl w:val="0"/>
              <w:kinsoku/>
              <w:wordWrap/>
              <w:overflowPunct/>
              <w:topLinePunct w:val="0"/>
              <w:autoSpaceDE/>
              <w:autoSpaceDN/>
              <w:bidi w:val="0"/>
              <w:adjustRightInd w:val="0"/>
              <w:snapToGrid w:val="0"/>
              <w:spacing w:before="212"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6F47B03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r w14:paraId="03E2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jc w:val="center"/>
        </w:trPr>
        <w:tc>
          <w:tcPr>
            <w:tcW w:w="724" w:type="dxa"/>
            <w:vAlign w:val="top"/>
          </w:tcPr>
          <w:p w14:paraId="26DDA61F">
            <w:pPr>
              <w:keepNext w:val="0"/>
              <w:keepLines w:val="0"/>
              <w:pageBreakBefore w:val="0"/>
              <w:widowControl w:val="0"/>
              <w:kinsoku/>
              <w:wordWrap/>
              <w:overflowPunct/>
              <w:topLinePunct w:val="0"/>
              <w:autoSpaceDE/>
              <w:autoSpaceDN/>
              <w:bidi w:val="0"/>
              <w:adjustRightInd w:val="0"/>
              <w:snapToGrid w:val="0"/>
              <w:spacing w:before="257" w:line="400" w:lineRule="exact"/>
              <w:ind w:left="25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12</w:t>
            </w:r>
          </w:p>
        </w:tc>
        <w:tc>
          <w:tcPr>
            <w:tcW w:w="3058" w:type="dxa"/>
            <w:vAlign w:val="top"/>
          </w:tcPr>
          <w:p w14:paraId="13D8EF78">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保修期</w:t>
            </w:r>
          </w:p>
        </w:tc>
        <w:tc>
          <w:tcPr>
            <w:tcW w:w="1104" w:type="dxa"/>
            <w:vAlign w:val="top"/>
          </w:tcPr>
          <w:p w14:paraId="3651DA3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c>
          <w:tcPr>
            <w:tcW w:w="2215" w:type="dxa"/>
            <w:vAlign w:val="top"/>
          </w:tcPr>
          <w:p w14:paraId="2C715C09">
            <w:pPr>
              <w:pStyle w:val="43"/>
              <w:keepNext w:val="0"/>
              <w:keepLines w:val="0"/>
              <w:pageBreakBefore w:val="0"/>
              <w:widowControl w:val="0"/>
              <w:kinsoku/>
              <w:wordWrap/>
              <w:overflowPunct/>
              <w:topLinePunct w:val="0"/>
              <w:autoSpaceDE/>
              <w:autoSpaceDN/>
              <w:bidi w:val="0"/>
              <w:adjustRightInd w:val="0"/>
              <w:snapToGrid w:val="0"/>
              <w:spacing w:before="210" w:line="400" w:lineRule="exact"/>
              <w:ind w:left="11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按照招标文件要求</w:t>
            </w:r>
          </w:p>
        </w:tc>
        <w:tc>
          <w:tcPr>
            <w:tcW w:w="1704" w:type="dxa"/>
            <w:vAlign w:val="top"/>
          </w:tcPr>
          <w:p w14:paraId="04EE718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tc>
      </w:tr>
    </w:tbl>
    <w:p w14:paraId="50D79620">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5" w:type="default"/>
          <w:pgSz w:w="11850" w:h="16783"/>
          <w:pgMar w:top="1134" w:right="1134" w:bottom="1134" w:left="1134" w:header="0" w:footer="992" w:gutter="0"/>
          <w:pgNumType w:fmt="decimal"/>
          <w:cols w:space="720" w:num="1"/>
        </w:sectPr>
      </w:pPr>
    </w:p>
    <w:p w14:paraId="0E6056B8">
      <w:pPr>
        <w:keepNext w:val="0"/>
        <w:keepLines w:val="0"/>
        <w:pageBreakBefore w:val="0"/>
        <w:widowControl w:val="0"/>
        <w:kinsoku/>
        <w:wordWrap/>
        <w:overflowPunct/>
        <w:topLinePunct w:val="0"/>
        <w:autoSpaceDE/>
        <w:autoSpaceDN/>
        <w:bidi w:val="0"/>
        <w:adjustRightInd w:val="0"/>
        <w:snapToGrid w:val="0"/>
        <w:spacing w:before="60" w:line="400" w:lineRule="exact"/>
        <w:jc w:val="center"/>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i w:val="0"/>
          <w:iCs w:val="0"/>
          <w:color w:val="000000" w:themeColor="text1"/>
          <w:spacing w:val="0"/>
          <w:sz w:val="36"/>
          <w:szCs w:val="36"/>
          <w:highlight w:val="none"/>
          <w14:textFill>
            <w14:solidFill>
              <w14:schemeClr w14:val="tx1"/>
            </w14:solidFill>
          </w14:textFill>
        </w:rPr>
        <w:t>投标承诺书</w:t>
      </w:r>
    </w:p>
    <w:p w14:paraId="39106398">
      <w:pPr>
        <w:keepNext w:val="0"/>
        <w:keepLines w:val="0"/>
        <w:pageBreakBefore w:val="0"/>
        <w:widowControl w:val="0"/>
        <w:tabs>
          <w:tab w:val="left" w:pos="136"/>
        </w:tabs>
        <w:kinsoku/>
        <w:wordWrap/>
        <w:overflowPunct/>
        <w:topLinePunct w:val="0"/>
        <w:autoSpaceDE/>
        <w:autoSpaceDN/>
        <w:bidi w:val="0"/>
        <w:adjustRightInd w:val="0"/>
        <w:snapToGrid w:val="0"/>
        <w:spacing w:line="36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ab/>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（招标人名称）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3CDF62C1">
      <w:pPr>
        <w:keepNext w:val="0"/>
        <w:keepLines w:val="0"/>
        <w:pageBreakBefore w:val="0"/>
        <w:widowControl w:val="0"/>
        <w:kinsoku/>
        <w:wordWrap/>
        <w:overflowPunct/>
        <w:topLinePunct w:val="0"/>
        <w:autoSpaceDE/>
        <w:autoSpaceDN/>
        <w:bidi w:val="0"/>
        <w:adjustRightInd w:val="0"/>
        <w:snapToGrid w:val="0"/>
        <w:spacing w:line="360" w:lineRule="exact"/>
        <w:ind w:left="11" w:right="235" w:firstLine="4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本公司已详细阅读</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（项目名称及招标编号）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招标文件，自觉遵守中华人民共和国、浙江省及当地有关招标投标的法律法规规定，自觉维护建筑市场正常秩序，现自愿就参加该工程投标有关事项郑重承诺如下：</w:t>
      </w:r>
    </w:p>
    <w:p w14:paraId="146358BB">
      <w:pPr>
        <w:keepNext w:val="0"/>
        <w:keepLines w:val="0"/>
        <w:pageBreakBefore w:val="0"/>
        <w:widowControl w:val="0"/>
        <w:kinsoku/>
        <w:wordWrap/>
        <w:overflowPunct/>
        <w:topLinePunct w:val="0"/>
        <w:autoSpaceDE/>
        <w:autoSpaceDN/>
        <w:bidi w:val="0"/>
        <w:adjustRightInd w:val="0"/>
        <w:snapToGrid w:val="0"/>
        <w:spacing w:line="360" w:lineRule="exact"/>
        <w:ind w:left="33" w:right="173" w:firstLine="47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 承诺投标文件无虚假、伪造的内容。若投标文件中存在虚假、伪造的内容，同意作无效投标处理。</w:t>
      </w:r>
    </w:p>
    <w:p w14:paraId="5C4AC210">
      <w:pPr>
        <w:keepNext w:val="0"/>
        <w:keepLines w:val="0"/>
        <w:pageBreakBefore w:val="0"/>
        <w:widowControl w:val="0"/>
        <w:kinsoku/>
        <w:wordWrap/>
        <w:overflowPunct/>
        <w:topLinePunct w:val="0"/>
        <w:autoSpaceDE/>
        <w:autoSpaceDN/>
        <w:bidi w:val="0"/>
        <w:adjustRightInd w:val="0"/>
        <w:snapToGrid w:val="0"/>
        <w:spacing w:line="360" w:lineRule="exact"/>
        <w:ind w:left="10" w:right="237" w:firstLine="48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2.承诺我单位法定代表人、拟派项目负责人、授权代表等主要责任人诚信投标。</w:t>
      </w:r>
    </w:p>
    <w:p w14:paraId="5B29FA9F">
      <w:pPr>
        <w:keepNext w:val="0"/>
        <w:keepLines w:val="0"/>
        <w:pageBreakBefore w:val="0"/>
        <w:widowControl w:val="0"/>
        <w:kinsoku/>
        <w:wordWrap/>
        <w:overflowPunct/>
        <w:topLinePunct w:val="0"/>
        <w:autoSpaceDE/>
        <w:autoSpaceDN/>
        <w:bidi w:val="0"/>
        <w:adjustRightInd w:val="0"/>
        <w:snapToGrid w:val="0"/>
        <w:spacing w:line="360" w:lineRule="exact"/>
        <w:ind w:left="10" w:right="235" w:firstLine="48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3.承诺无串通投标行为，若与其他投标人存在投标文件异常一致、内容多处雷同、电子检测码（码）一致的情况，同意作无效投标处理，并接受有关行政 监督部门的调查和处罚。</w:t>
      </w:r>
    </w:p>
    <w:p w14:paraId="1AB2F3DC">
      <w:pPr>
        <w:keepNext w:val="0"/>
        <w:keepLines w:val="0"/>
        <w:pageBreakBefore w:val="0"/>
        <w:widowControl w:val="0"/>
        <w:kinsoku/>
        <w:wordWrap/>
        <w:overflowPunct/>
        <w:topLinePunct w:val="0"/>
        <w:autoSpaceDE/>
        <w:autoSpaceDN/>
        <w:bidi w:val="0"/>
        <w:adjustRightInd w:val="0"/>
        <w:snapToGrid w:val="0"/>
        <w:spacing w:line="360" w:lineRule="exact"/>
        <w:ind w:left="8" w:right="23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4.承诺无恶意报价行为，若被认定存在严重哄抬标价或影响合同履行的异常低价竞标行为，同意作无效投标处理，并接受有关行政监督部门的调查和处罚。</w:t>
      </w:r>
    </w:p>
    <w:p w14:paraId="06FC1415">
      <w:pPr>
        <w:keepNext w:val="0"/>
        <w:keepLines w:val="0"/>
        <w:pageBreakBefore w:val="0"/>
        <w:widowControl w:val="0"/>
        <w:kinsoku/>
        <w:wordWrap/>
        <w:overflowPunct/>
        <w:topLinePunct w:val="0"/>
        <w:autoSpaceDE/>
        <w:autoSpaceDN/>
        <w:bidi w:val="0"/>
        <w:adjustRightInd w:val="0"/>
        <w:snapToGrid w:val="0"/>
        <w:spacing w:line="360" w:lineRule="exact"/>
        <w:ind w:left="16" w:right="202" w:firstLine="47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5.承诺按照投标文件派驻管理人员及投入机械设备，若存在不到位的情况，同意接受合同约定的处罚。若严重影响合同履约的，同意接受招标人解除合同的要求。</w:t>
      </w:r>
    </w:p>
    <w:p w14:paraId="27EBB352">
      <w:pPr>
        <w:keepNext w:val="0"/>
        <w:keepLines w:val="0"/>
        <w:pageBreakBefore w:val="0"/>
        <w:widowControl w:val="0"/>
        <w:kinsoku/>
        <w:wordWrap/>
        <w:overflowPunct/>
        <w:topLinePunct w:val="0"/>
        <w:autoSpaceDE/>
        <w:autoSpaceDN/>
        <w:bidi w:val="0"/>
        <w:adjustRightInd w:val="0"/>
        <w:snapToGrid w:val="0"/>
        <w:spacing w:line="360" w:lineRule="exact"/>
        <w:ind w:left="8" w:right="235" w:firstLine="48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6.承诺本项目拟派</w:t>
      </w:r>
      <w:r>
        <w:rPr>
          <w:rFonts w:hint="eastAsia" w:ascii="宋体" w:hAnsi="宋体" w:eastAsia="宋体" w:cs="宋体"/>
          <w:i w:val="0"/>
          <w:iCs w:val="0"/>
          <w:color w:val="000000" w:themeColor="text1"/>
          <w:spacing w:val="0"/>
          <w:sz w:val="21"/>
          <w:szCs w:val="21"/>
          <w:highlight w:val="none"/>
          <w:lang w:val="en-US" w:eastAsia="zh-CN"/>
          <w14:textFill>
            <w14:solidFill>
              <w14:schemeClr w14:val="tx1"/>
            </w14:solidFill>
          </w14:textFill>
        </w:rPr>
        <w:t>施工</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负责人在投标截止日无在其他任何在建合同工程上担任项目负责人（包括工程总承包项目中的施工负责人）的情形。</w:t>
      </w:r>
    </w:p>
    <w:p w14:paraId="4A31CDF3">
      <w:pPr>
        <w:keepNext w:val="0"/>
        <w:keepLines w:val="0"/>
        <w:pageBreakBefore w:val="0"/>
        <w:widowControl w:val="0"/>
        <w:kinsoku/>
        <w:wordWrap/>
        <w:overflowPunct/>
        <w:topLinePunct w:val="0"/>
        <w:autoSpaceDE/>
        <w:autoSpaceDN/>
        <w:bidi w:val="0"/>
        <w:adjustRightInd w:val="0"/>
        <w:snapToGrid w:val="0"/>
        <w:spacing w:line="360" w:lineRule="exact"/>
        <w:ind w:left="9" w:right="235" w:firstLine="48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7.承诺我单位在投标期间（招标公告发布之日至中标通知书发出之日），资质条件在“浙江省建筑市场监管公共服务系统”上动态核查结果处于“合格”状态，若为“不合格”状态同意作否决投标处理。</w:t>
      </w:r>
    </w:p>
    <w:p w14:paraId="662D518F">
      <w:pPr>
        <w:keepNext w:val="0"/>
        <w:keepLines w:val="0"/>
        <w:pageBreakBefore w:val="0"/>
        <w:widowControl w:val="0"/>
        <w:kinsoku/>
        <w:wordWrap/>
        <w:overflowPunct/>
        <w:topLinePunct w:val="0"/>
        <w:autoSpaceDE/>
        <w:autoSpaceDN/>
        <w:bidi w:val="0"/>
        <w:adjustRightInd w:val="0"/>
        <w:snapToGrid w:val="0"/>
        <w:spacing w:line="360" w:lineRule="exact"/>
        <w:ind w:left="9"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8.承诺我单位在投标前，及时维护更新“浙江省建筑市场监管公共服务系统”相关信息，并对企业资质、人员资格、项目状况、信用评价等信息的真实性、准确性、完整性负责。</w:t>
      </w:r>
    </w:p>
    <w:p w14:paraId="47084796">
      <w:pPr>
        <w:keepNext w:val="0"/>
        <w:keepLines w:val="0"/>
        <w:pageBreakBefore w:val="0"/>
        <w:widowControl w:val="0"/>
        <w:kinsoku/>
        <w:wordWrap/>
        <w:overflowPunct/>
        <w:topLinePunct w:val="0"/>
        <w:autoSpaceDE/>
        <w:autoSpaceDN/>
        <w:bidi w:val="0"/>
        <w:adjustRightInd w:val="0"/>
        <w:snapToGrid w:val="0"/>
        <w:spacing w:line="360" w:lineRule="exact"/>
        <w:ind w:left="12" w:right="235" w:firstLine="47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9.承诺本招标文件要求的人员和单位没有被人民法院列入限制失信被执行人名单和至投标截止时间三年内没有行贿犯罪记录。</w:t>
      </w:r>
    </w:p>
    <w:p w14:paraId="60095E23">
      <w:pPr>
        <w:keepNext w:val="0"/>
        <w:keepLines w:val="0"/>
        <w:pageBreakBefore w:val="0"/>
        <w:widowControl w:val="0"/>
        <w:kinsoku/>
        <w:wordWrap/>
        <w:overflowPunct/>
        <w:topLinePunct w:val="0"/>
        <w:autoSpaceDE/>
        <w:autoSpaceDN/>
        <w:bidi w:val="0"/>
        <w:adjustRightInd w:val="0"/>
        <w:snapToGrid w:val="0"/>
        <w:spacing w:line="360" w:lineRule="exact"/>
        <w:ind w:left="12" w:right="237" w:firstLine="49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10.承诺未被有关行政主管部门列入严重失信黑名单失信(严重违法失信企业名单、联合惩戒名单)或限制参加投标。</w:t>
      </w:r>
    </w:p>
    <w:p w14:paraId="3A43D062">
      <w:pPr>
        <w:keepNext w:val="0"/>
        <w:keepLines w:val="0"/>
        <w:pageBreakBefore w:val="0"/>
        <w:widowControl w:val="0"/>
        <w:kinsoku/>
        <w:wordWrap/>
        <w:overflowPunct/>
        <w:topLinePunct w:val="0"/>
        <w:autoSpaceDE/>
        <w:autoSpaceDN/>
        <w:bidi w:val="0"/>
        <w:adjustRightInd w:val="0"/>
        <w:snapToGrid w:val="0"/>
        <w:spacing w:line="360" w:lineRule="exact"/>
        <w:ind w:left="55" w:right="235" w:firstLine="45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11.若我单位中标，承诺在本工程实施过程中若变更拟派项目负责人，拟派项目负责人在变更之日起六个月之内将不参与浙江省行政区域范围内工程投标。</w:t>
      </w:r>
    </w:p>
    <w:p w14:paraId="7C61F08F">
      <w:pPr>
        <w:keepNext w:val="0"/>
        <w:keepLines w:val="0"/>
        <w:pageBreakBefore w:val="0"/>
        <w:widowControl w:val="0"/>
        <w:kinsoku/>
        <w:wordWrap/>
        <w:overflowPunct/>
        <w:topLinePunct w:val="0"/>
        <w:autoSpaceDE/>
        <w:autoSpaceDN/>
        <w:bidi w:val="0"/>
        <w:adjustRightInd w:val="0"/>
        <w:snapToGrid w:val="0"/>
        <w:spacing w:line="360" w:lineRule="exact"/>
        <w:ind w:left="50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12.我单位直接负责本项目投标的主管人员为法定代表人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2A9527F5">
      <w:pPr>
        <w:keepNext w:val="0"/>
        <w:keepLines w:val="0"/>
        <w:pageBreakBefore w:val="0"/>
        <w:widowControl w:val="0"/>
        <w:kinsoku/>
        <w:wordWrap/>
        <w:overflowPunct/>
        <w:topLinePunct w:val="0"/>
        <w:autoSpaceDE/>
        <w:autoSpaceDN/>
        <w:bidi w:val="0"/>
        <w:adjustRightInd w:val="0"/>
        <w:snapToGrid w:val="0"/>
        <w:spacing w:line="360" w:lineRule="exact"/>
        <w:ind w:left="1" w:right="306" w:firstLine="2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，联系手机号码：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（必须为本人实名办理的手</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机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号码）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）；我单位与本项目投标相关的直接责任人员为本次投标委托授权 代表</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（身份证号码：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联系手机号码：</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（必须为本</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人实名办理的手机号码）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），上述人员承诺承担相应的法律责任 。</w:t>
      </w:r>
    </w:p>
    <w:p w14:paraId="033C8A09">
      <w:pPr>
        <w:keepNext w:val="0"/>
        <w:keepLines w:val="0"/>
        <w:pageBreakBefore w:val="0"/>
        <w:widowControl w:val="0"/>
        <w:kinsoku/>
        <w:wordWrap/>
        <w:overflowPunct/>
        <w:topLinePunct w:val="0"/>
        <w:autoSpaceDE/>
        <w:autoSpaceDN/>
        <w:bidi w:val="0"/>
        <w:adjustRightInd w:val="0"/>
        <w:snapToGrid w:val="0"/>
        <w:spacing w:line="360" w:lineRule="exact"/>
        <w:ind w:left="507"/>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13.其他：</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p>
    <w:p w14:paraId="5E2C1170">
      <w:pPr>
        <w:keepNext w:val="0"/>
        <w:keepLines w:val="0"/>
        <w:pageBreakBefore w:val="0"/>
        <w:widowControl w:val="0"/>
        <w:kinsoku/>
        <w:wordWrap/>
        <w:overflowPunct/>
        <w:topLinePunct w:val="0"/>
        <w:autoSpaceDE/>
        <w:autoSpaceDN/>
        <w:bidi w:val="0"/>
        <w:adjustRightInd w:val="0"/>
        <w:snapToGrid w:val="0"/>
        <w:spacing w:line="360" w:lineRule="exact"/>
        <w:ind w:left="15" w:right="202" w:firstLine="49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14.以上承诺如有虚假，愿意接受投标保证金不予退还的处理。给招标人造成损失的，愿意依法承担赔偿责任。如已中标，同意招标人取消我单位中标资格的处理。</w:t>
      </w:r>
    </w:p>
    <w:p w14:paraId="008699C6">
      <w:pPr>
        <w:keepNext w:val="0"/>
        <w:keepLines w:val="0"/>
        <w:pageBreakBefore w:val="0"/>
        <w:widowControl w:val="0"/>
        <w:kinsoku/>
        <w:wordWrap/>
        <w:overflowPunct/>
        <w:topLinePunct w:val="0"/>
        <w:autoSpaceDE/>
        <w:autoSpaceDN/>
        <w:bidi w:val="0"/>
        <w:adjustRightInd w:val="0"/>
        <w:snapToGrid w:val="0"/>
        <w:spacing w:line="360" w:lineRule="exact"/>
        <w:ind w:left="10" w:right="225" w:firstLine="45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拟派项目负责人（签字）：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对所在单位参与本次投标知情,投标中使用的本人相关业绩真实有效。</w:t>
      </w:r>
    </w:p>
    <w:p w14:paraId="544EDCFF">
      <w:pPr>
        <w:keepNext w:val="0"/>
        <w:keepLines w:val="0"/>
        <w:pageBreakBefore w:val="0"/>
        <w:widowControl w:val="0"/>
        <w:kinsoku/>
        <w:wordWrap/>
        <w:overflowPunct/>
        <w:topLinePunct w:val="0"/>
        <w:autoSpaceDE/>
        <w:autoSpaceDN/>
        <w:bidi w:val="0"/>
        <w:adjustRightInd w:val="0"/>
        <w:snapToGrid w:val="0"/>
        <w:spacing w:line="360" w:lineRule="exact"/>
        <w:ind w:left="313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position w:val="6"/>
          <w:sz w:val="21"/>
          <w:szCs w:val="21"/>
          <w:highlight w:val="none"/>
          <w14:textFill>
            <w14:solidFill>
              <w14:schemeClr w14:val="tx1"/>
            </w14:solidFill>
          </w14:textFill>
        </w:rPr>
        <w:t>法定代表人（签字或盖章）：</w:t>
      </w:r>
    </w:p>
    <w:p w14:paraId="098FA3EB">
      <w:pPr>
        <w:keepNext w:val="0"/>
        <w:keepLines w:val="0"/>
        <w:pageBreakBefore w:val="0"/>
        <w:widowControl w:val="0"/>
        <w:kinsoku/>
        <w:wordWrap/>
        <w:overflowPunct/>
        <w:topLinePunct w:val="0"/>
        <w:autoSpaceDE/>
        <w:autoSpaceDN/>
        <w:bidi w:val="0"/>
        <w:adjustRightInd w:val="0"/>
        <w:snapToGrid w:val="0"/>
        <w:spacing w:line="360" w:lineRule="exact"/>
        <w:ind w:left="3132"/>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投标人（单位盖章）：</w:t>
      </w:r>
    </w:p>
    <w:p w14:paraId="534783B8">
      <w:pPr>
        <w:keepNext w:val="0"/>
        <w:keepLines w:val="0"/>
        <w:pageBreakBefore w:val="0"/>
        <w:widowControl w:val="0"/>
        <w:kinsoku/>
        <w:wordWrap/>
        <w:overflowPunct/>
        <w:topLinePunct w:val="0"/>
        <w:autoSpaceDE/>
        <w:autoSpaceDN/>
        <w:bidi w:val="0"/>
        <w:adjustRightInd w:val="0"/>
        <w:snapToGrid w:val="0"/>
        <w:spacing w:line="360" w:lineRule="exact"/>
        <w:ind w:left="621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6" w:type="default"/>
          <w:pgSz w:w="11850" w:h="16783"/>
          <w:pgMar w:top="1134" w:right="1134" w:bottom="1134" w:left="1134" w:header="0" w:footer="992" w:gutter="0"/>
          <w:pgNumType w:fmt="decimal"/>
          <w:cols w:space="720" w:num="1"/>
        </w:sect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年    月    日</w:t>
      </w:r>
    </w:p>
    <w:p w14:paraId="1F37AFCE">
      <w:pPr>
        <w:keepNext w:val="0"/>
        <w:keepLines w:val="0"/>
        <w:pageBreakBefore w:val="0"/>
        <w:widowControl w:val="0"/>
        <w:kinsoku/>
        <w:wordWrap/>
        <w:overflowPunct/>
        <w:topLinePunct w:val="0"/>
        <w:autoSpaceDE/>
        <w:autoSpaceDN/>
        <w:bidi w:val="0"/>
        <w:adjustRightInd w:val="0"/>
        <w:snapToGrid w:val="0"/>
        <w:spacing w:before="56" w:line="400" w:lineRule="exact"/>
        <w:jc w:val="center"/>
        <w:textAlignment w:val="auto"/>
        <w:outlineLvl w:val="9"/>
        <w:rPr>
          <w:rFonts w:hint="eastAsia" w:ascii="宋体" w:hAnsi="宋体" w:eastAsia="宋体" w:cs="宋体"/>
          <w:i w:val="0"/>
          <w:iCs w:val="0"/>
          <w:color w:val="000000" w:themeColor="text1"/>
          <w:spacing w:val="0"/>
          <w:sz w:val="36"/>
          <w:szCs w:val="36"/>
          <w:highlight w:val="none"/>
          <w14:textFill>
            <w14:solidFill>
              <w14:schemeClr w14:val="tx1"/>
            </w14:solidFill>
          </w14:textFill>
        </w:rPr>
      </w:pPr>
      <w:r>
        <w:rPr>
          <w:rFonts w:hint="eastAsia" w:ascii="宋体" w:hAnsi="宋体" w:eastAsia="宋体" w:cs="宋体"/>
          <w:b/>
          <w:bCs/>
          <w:i w:val="0"/>
          <w:iCs w:val="0"/>
          <w:color w:val="000000" w:themeColor="text1"/>
          <w:spacing w:val="0"/>
          <w:sz w:val="36"/>
          <w:szCs w:val="36"/>
          <w:highlight w:val="none"/>
          <w14:textFill>
            <w14:solidFill>
              <w14:schemeClr w14:val="tx1"/>
            </w14:solidFill>
          </w14:textFill>
        </w:rPr>
        <w:t>投标保函（供参考）</w:t>
      </w:r>
    </w:p>
    <w:p w14:paraId="3553B144">
      <w:pPr>
        <w:keepNext w:val="0"/>
        <w:keepLines w:val="0"/>
        <w:pageBreakBefore w:val="0"/>
        <w:widowControl w:val="0"/>
        <w:kinsoku/>
        <w:wordWrap/>
        <w:overflowPunct/>
        <w:topLinePunct w:val="0"/>
        <w:autoSpaceDE/>
        <w:autoSpaceDN/>
        <w:bidi w:val="0"/>
        <w:adjustRightInd w:val="0"/>
        <w:snapToGrid w:val="0"/>
        <w:spacing w:before="196" w:line="400" w:lineRule="exact"/>
        <w:ind w:left="3824"/>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编号：</w:t>
      </w:r>
    </w:p>
    <w:p w14:paraId="72DFC177">
      <w:pPr>
        <w:keepNext w:val="0"/>
        <w:keepLines w:val="0"/>
        <w:pageBreakBefore w:val="0"/>
        <w:widowControl w:val="0"/>
        <w:kinsoku/>
        <w:wordWrap/>
        <w:overflowPunct/>
        <w:topLinePunct w:val="0"/>
        <w:autoSpaceDE/>
        <w:autoSpaceDN/>
        <w:bidi w:val="0"/>
        <w:adjustRightInd w:val="0"/>
        <w:snapToGrid w:val="0"/>
        <w:spacing w:line="400" w:lineRule="exact"/>
        <w:ind w:left="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致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招标人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116ADDB0">
      <w:pPr>
        <w:keepNext w:val="0"/>
        <w:keepLines w:val="0"/>
        <w:pageBreakBefore w:val="0"/>
        <w:widowControl w:val="0"/>
        <w:kinsoku/>
        <w:wordWrap/>
        <w:overflowPunct/>
        <w:topLinePunct w:val="0"/>
        <w:autoSpaceDE/>
        <w:autoSpaceDN/>
        <w:bidi w:val="0"/>
        <w:adjustRightInd w:val="0"/>
        <w:snapToGrid w:val="0"/>
        <w:spacing w:line="400" w:lineRule="exact"/>
        <w:ind w:left="29" w:right="99" w:firstLine="463"/>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鉴于：</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（以下简称“投标人”）根据贵方发出的编号为的招标文件拟向贵方投标承接</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项目。根据招标文件，投标人需向贵方提交投标保函。</w:t>
      </w:r>
    </w:p>
    <w:p w14:paraId="24A8CC59">
      <w:pPr>
        <w:keepNext w:val="0"/>
        <w:keepLines w:val="0"/>
        <w:pageBreakBefore w:val="0"/>
        <w:widowControl w:val="0"/>
        <w:kinsoku/>
        <w:wordWrap/>
        <w:overflowPunct/>
        <w:topLinePunct w:val="0"/>
        <w:autoSpaceDE/>
        <w:autoSpaceDN/>
        <w:bidi w:val="0"/>
        <w:adjustRightInd w:val="0"/>
        <w:snapToGrid w:val="0"/>
        <w:spacing w:line="400" w:lineRule="exact"/>
        <w:ind w:left="10" w:firstLine="47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根据投标人的申请，我行（下称“保证人”）在此向贵方（下称“受益人”） 开立不可撤销，担保金额累计不超过</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（币种）</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元（大写）</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的投标保函（下称“本保函”）。</w:t>
      </w:r>
    </w:p>
    <w:p w14:paraId="7AF7A970">
      <w:pPr>
        <w:keepNext w:val="0"/>
        <w:keepLines w:val="0"/>
        <w:pageBreakBefore w:val="0"/>
        <w:widowControl w:val="0"/>
        <w:numPr>
          <w:ilvl w:val="0"/>
          <w:numId w:val="26"/>
        </w:numPr>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本保函为不可撤销、见索即付的独立保函。保证人承诺，在本保函有效 期内收到受益人提交的书面付款通知次日起十个工作日内在担保金额内按照付款通知要求支付，书面付款通知即为付款要求之单据，无须提交其他证明文件。</w:t>
      </w:r>
    </w:p>
    <w:p w14:paraId="68DB1B26">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left="492" w:leftChars="0" w:right="147" w:rightChars="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付款通知应满足以下要求：</w:t>
      </w:r>
    </w:p>
    <w:p w14:paraId="28A8E011">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1.经受益人有权签字人签字、加盖受益人公章；</w:t>
      </w:r>
    </w:p>
    <w:p w14:paraId="219BBC87">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2.载明投标人存在下列投标保证金不予退还情形之一：</w:t>
      </w:r>
    </w:p>
    <w:p w14:paraId="330AB9C3">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（1）投标截止后在投标有效期内撤销投标文件；</w:t>
      </w:r>
    </w:p>
    <w:p w14:paraId="58F8C69F">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（2）中标后，在招标文件规定的时间内无正当理由不与受益人订立合同，或签订合同时向受益人提出附加条件；</w:t>
      </w:r>
    </w:p>
    <w:p w14:paraId="6E54D822">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（3）中标后不按照招标文件要求提交履约保证金或履约保函（保险） ；</w:t>
      </w:r>
    </w:p>
    <w:p w14:paraId="2BBDFC55">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（4）存在招标文件规定的不予退还投标保证金的其他情形。</w:t>
      </w:r>
    </w:p>
    <w:p w14:paraId="4C5CCD2A">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3.载明要求支付的金额及付款方式；</w:t>
      </w:r>
    </w:p>
    <w:p w14:paraId="005B0B57">
      <w:pPr>
        <w:keepNext w:val="0"/>
        <w:keepLines w:val="0"/>
        <w:pageBreakBefore w:val="0"/>
        <w:widowControl w:val="0"/>
        <w:kinsoku/>
        <w:wordWrap/>
        <w:overflowPunct/>
        <w:topLinePunct w:val="0"/>
        <w:autoSpaceDE/>
        <w:autoSpaceDN/>
        <w:bidi w:val="0"/>
        <w:adjustRightInd w:val="0"/>
        <w:snapToGrid w:val="0"/>
        <w:spacing w:line="400" w:lineRule="exact"/>
        <w:ind w:left="12" w:right="147" w:firstLine="48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4.付款通知必须在本保函有效期内到达以下地址：</w:t>
      </w:r>
      <w:r>
        <w:rPr>
          <w:rFonts w:hint="eastAsia" w:ascii="宋体" w:hAnsi="宋体" w:eastAsia="宋体" w:cs="宋体"/>
          <w:i w:val="0"/>
          <w:iCs w:val="0"/>
          <w:color w:val="000000" w:themeColor="text1"/>
          <w:spacing w:val="0"/>
          <w:sz w:val="21"/>
          <w:szCs w:val="21"/>
          <w:highlight w:val="none"/>
          <w:u w:val="singl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w:t>
      </w:r>
    </w:p>
    <w:p w14:paraId="37C0AF3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二、本保函一经开立即生效，有效期自开立之日起至</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年   月    日</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止。</w:t>
      </w:r>
    </w:p>
    <w:p w14:paraId="31D5B27D">
      <w:pPr>
        <w:keepNext w:val="0"/>
        <w:keepLines w:val="0"/>
        <w:pageBreakBefore w:val="0"/>
        <w:widowControl w:val="0"/>
        <w:kinsoku/>
        <w:wordWrap/>
        <w:overflowPunct/>
        <w:topLinePunct w:val="0"/>
        <w:autoSpaceDE/>
        <w:autoSpaceDN/>
        <w:bidi w:val="0"/>
        <w:adjustRightInd w:val="0"/>
        <w:snapToGrid w:val="0"/>
        <w:spacing w:line="400" w:lineRule="exact"/>
        <w:ind w:left="489"/>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三、受益人将主合同项下债权转让第三人时需经保证人书面同意，否则保证人在本保函项下的担保责任自动解除。</w:t>
      </w:r>
    </w:p>
    <w:p w14:paraId="159EE426">
      <w:pPr>
        <w:keepNext w:val="0"/>
        <w:keepLines w:val="0"/>
        <w:pageBreakBefore w:val="0"/>
        <w:widowControl w:val="0"/>
        <w:kinsoku/>
        <w:wordWrap/>
        <w:overflowPunct/>
        <w:topLinePunct w:val="0"/>
        <w:autoSpaceDE/>
        <w:autoSpaceDN/>
        <w:bidi w:val="0"/>
        <w:adjustRightInd w:val="0"/>
        <w:snapToGrid w:val="0"/>
        <w:spacing w:line="400" w:lineRule="exact"/>
        <w:ind w:left="501"/>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四、未经保证人书面同意，本保函不得转让、质押。</w:t>
      </w:r>
    </w:p>
    <w:p w14:paraId="3681E018">
      <w:pPr>
        <w:keepNext w:val="0"/>
        <w:keepLines w:val="0"/>
        <w:pageBreakBefore w:val="0"/>
        <w:widowControl w:val="0"/>
        <w:kinsoku/>
        <w:wordWrap/>
        <w:overflowPunct/>
        <w:topLinePunct w:val="0"/>
        <w:autoSpaceDE/>
        <w:autoSpaceDN/>
        <w:bidi w:val="0"/>
        <w:adjustRightInd w:val="0"/>
        <w:snapToGrid w:val="0"/>
        <w:spacing w:line="400" w:lineRule="exact"/>
        <w:ind w:left="14" w:right="27" w:firstLine="468"/>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五、本保函适用中华人民共和国法律，受中华人民共和国法律管辖。在本保 函履行期间，如发生争议，各当事人首先应协商解决。协商不能解决的，任何一方可向保证人住所地有管辖权的法院提起诉讼。</w:t>
      </w:r>
    </w:p>
    <w:p w14:paraId="366AE273">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D457371">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478084">
      <w:pPr>
        <w:pStyle w:val="10"/>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14B86A0">
      <w:pPr>
        <w:keepNext w:val="0"/>
        <w:keepLines w:val="0"/>
        <w:pageBreakBefore w:val="0"/>
        <w:widowControl w:val="0"/>
        <w:kinsoku/>
        <w:wordWrap/>
        <w:overflowPunct/>
        <w:topLinePunct w:val="0"/>
        <w:autoSpaceDE/>
        <w:autoSpaceDN/>
        <w:bidi w:val="0"/>
        <w:adjustRightInd w:val="0"/>
        <w:snapToGrid w:val="0"/>
        <w:spacing w:line="400" w:lineRule="exact"/>
        <w:jc w:val="righ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保证人：</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（签章）</w:t>
      </w:r>
    </w:p>
    <w:p w14:paraId="3AAFE2A8">
      <w:pPr>
        <w:keepNext w:val="0"/>
        <w:keepLines w:val="0"/>
        <w:pageBreakBefore w:val="0"/>
        <w:widowControl w:val="0"/>
        <w:kinsoku/>
        <w:wordWrap/>
        <w:overflowPunct/>
        <w:topLinePunct w:val="0"/>
        <w:autoSpaceDE/>
        <w:autoSpaceDN/>
        <w:bidi w:val="0"/>
        <w:adjustRightInd w:val="0"/>
        <w:snapToGrid w:val="0"/>
        <w:spacing w:line="400" w:lineRule="exact"/>
        <w:ind w:left="4679"/>
        <w:jc w:val="right"/>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开具日期： </w:t>
      </w:r>
      <w:r>
        <w:rPr>
          <w:rFonts w:hint="eastAsia" w:ascii="宋体" w:hAnsi="宋体" w:eastAsia="宋体" w:cs="宋体"/>
          <w:i w:val="0"/>
          <w:iCs w:val="0"/>
          <w:color w:val="000000" w:themeColor="text1"/>
          <w:spacing w:val="0"/>
          <w:sz w:val="21"/>
          <w:szCs w:val="21"/>
          <w:highlight w:val="none"/>
          <w:u w:val="single" w:color="auto"/>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年</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月</w:t>
      </w:r>
      <w:r>
        <w:rPr>
          <w:rFonts w:hint="eastAsia" w:ascii="宋体" w:hAnsi="宋体" w:eastAsia="宋体" w:cs="宋体"/>
          <w:i w:val="0"/>
          <w:iCs w:val="0"/>
          <w:color w:val="000000" w:themeColor="text1"/>
          <w:spacing w:val="0"/>
          <w:sz w:val="21"/>
          <w:szCs w:val="21"/>
          <w:highlight w:val="none"/>
          <w:u w:val="single" w:color="auto"/>
          <w14:textFill>
            <w14:solidFill>
              <w14:schemeClr w14:val="tx1"/>
            </w14:solidFill>
          </w14:textFill>
        </w:rPr>
        <w:t xml:space="preserve">   </w:t>
      </w:r>
      <w:r>
        <w:rPr>
          <w:rFonts w:hint="eastAsia" w:ascii="宋体" w:hAnsi="宋体" w:eastAsia="宋体" w:cs="宋体"/>
          <w:i w:val="0"/>
          <w:iCs w:val="0"/>
          <w:color w:val="000000" w:themeColor="text1"/>
          <w:spacing w:val="0"/>
          <w:sz w:val="21"/>
          <w:szCs w:val="21"/>
          <w:highlight w:val="none"/>
          <w14:textFill>
            <w14:solidFill>
              <w14:schemeClr w14:val="tx1"/>
            </w14:solidFill>
          </w14:textFill>
        </w:rPr>
        <w:t xml:space="preserve"> 日</w:t>
      </w:r>
    </w:p>
    <w:p w14:paraId="33E1BB9B">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sectPr>
          <w:footerReference r:id="rId27" w:type="default"/>
          <w:pgSz w:w="11850" w:h="16783"/>
          <w:pgMar w:top="1134" w:right="1134" w:bottom="1134" w:left="1134" w:header="0" w:footer="992" w:gutter="0"/>
          <w:pgNumType w:fmt="decimal"/>
          <w:cols w:space="720" w:num="1"/>
        </w:sectPr>
      </w:pPr>
    </w:p>
    <w:p w14:paraId="5F3C390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p>
    <w:p w14:paraId="4A83AC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已标价工程量清单</w:t>
      </w:r>
    </w:p>
    <w:p w14:paraId="7F230A81">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6580C19">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73A4A5E">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BFF60C0">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DC6CC35">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62041E7">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F789FD4">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6A32361">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B1F7FF5">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334FB1C">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25DB6F9">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142DA56">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3F803DA">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921C257">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28682B8">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E4CDAFC">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BE3E090">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5CB7986B">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A220761">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8E14C56">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2D65749">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8E4BF85">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2DBBDF5E">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9A3AF8C">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36EFADEB">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FD444F3">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6A9C89">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37BAE95">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6E01DF94">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043B96D5">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64E887B">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41F33B5C">
      <w:pPr>
        <w:pStyle w:val="20"/>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D6176C4">
      <w:pPr>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7444FD6E">
      <w:pPr>
        <w:pStyle w:val="20"/>
        <w:rPr>
          <w:rFonts w:hint="eastAsia"/>
        </w:rPr>
      </w:pPr>
    </w:p>
    <w:p w14:paraId="7DB85E95">
      <w:pPr>
        <w:keepNext w:val="0"/>
        <w:keepLines w:val="0"/>
        <w:pageBreakBefore w:val="0"/>
        <w:widowControl w:val="0"/>
        <w:kinsoku/>
        <w:wordWrap/>
        <w:overflowPunct/>
        <w:topLinePunct w:val="0"/>
        <w:autoSpaceDE/>
        <w:autoSpaceDN/>
        <w:bidi w:val="0"/>
        <w:adjustRightInd w:val="0"/>
        <w:snapToGrid w:val="0"/>
        <w:spacing w:line="440" w:lineRule="exact"/>
        <w:ind w:firstLine="976" w:firstLineChars="465"/>
        <w:jc w:val="both"/>
        <w:textAlignment w:val="auto"/>
        <w:outlineLvl w:val="9"/>
        <w:rPr>
          <w:rFonts w:hint="eastAsia" w:ascii="宋体" w:hAnsi="宋体" w:eastAsia="宋体" w:cs="宋体"/>
          <w:i w:val="0"/>
          <w:iCs w:val="0"/>
          <w:color w:val="000000" w:themeColor="text1"/>
          <w:spacing w:val="0"/>
          <w:sz w:val="21"/>
          <w:szCs w:val="21"/>
          <w:highlight w:val="none"/>
          <w14:textFill>
            <w14:solidFill>
              <w14:schemeClr w14:val="tx1"/>
            </w14:solidFill>
          </w14:textFill>
        </w:rPr>
      </w:pPr>
    </w:p>
    <w:p w14:paraId="11582E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招标文件要求投标人提交的其它投标资料(见投标须知前附表）</w:t>
      </w:r>
    </w:p>
    <w:sectPr>
      <w:headerReference r:id="rId28" w:type="default"/>
      <w:footerReference r:id="rId29" w:type="default"/>
      <w:pgSz w:w="11906" w:h="16838"/>
      <w:pgMar w:top="1361" w:right="1304" w:bottom="1191" w:left="1304" w:header="794" w:footer="90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CS?o｡ﾀ?">
    <w:altName w:val="Yu Gothic"/>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9" w:usb3="00000000" w:csb0="000001FF" w:csb1="00000000"/>
  </w:font>
  <w:font w:name="Wingdings 2">
    <w:altName w:val="Wingdings"/>
    <w:panose1 w:val="05020102010507070707"/>
    <w:charset w:val="02"/>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䅂䍄䕅⯋컌">
    <w:altName w:val="Segoe Print"/>
    <w:panose1 w:val="00000000000000000000"/>
    <w:charset w:val="00"/>
    <w:family w:val="auto"/>
    <w:pitch w:val="default"/>
    <w:sig w:usb0="00000000" w:usb1="00000000" w:usb2="00000000"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CBA8F">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5D2FB7">
                          <w:pPr>
                            <w:pStyle w:val="17"/>
                          </w:pPr>
                          <w:r>
                            <w:fldChar w:fldCharType="begin"/>
                          </w:r>
                          <w:r>
                            <w:instrText xml:space="preserve"> PAGE  \* MERGEFORMAT </w:instrText>
                          </w:r>
                          <w:r>
                            <w:fldChar w:fldCharType="separate"/>
                          </w:r>
                          <w:r>
                            <w:t>189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5D2FB7">
                    <w:pPr>
                      <w:pStyle w:val="17"/>
                    </w:pPr>
                    <w:r>
                      <w:fldChar w:fldCharType="begin"/>
                    </w:r>
                    <w:r>
                      <w:instrText xml:space="preserve"> PAGE  \* MERGEFORMAT </w:instrText>
                    </w:r>
                    <w:r>
                      <w:fldChar w:fldCharType="separate"/>
                    </w:r>
                    <w:r>
                      <w:t>189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10D0">
    <w:pPr>
      <w:pStyle w:val="17"/>
      <w:tabs>
        <w:tab w:val="center" w:pos="4649"/>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C0AE42">
                          <w:pPr>
                            <w:pStyle w:val="17"/>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3C0AE42">
                    <w:pPr>
                      <w:pStyle w:val="17"/>
                    </w:pPr>
                    <w:r>
                      <w:fldChar w:fldCharType="begin"/>
                    </w:r>
                    <w:r>
                      <w:instrText xml:space="preserve"> PAGE  \* MERGEFORMAT </w:instrText>
                    </w:r>
                    <w:r>
                      <w:fldChar w:fldCharType="separate"/>
                    </w:r>
                    <w:r>
                      <w:t>47</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2A561EF5">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Ickdt0PAgAAEAQAAA4AAAAAAAAAAQAgAAAA&#10;HwEAAGRycy9lMm9Eb2MueG1sUEsFBgAAAAAGAAYAWQEAAKAFAAAAAA==&#10;">
              <v:fill on="f" focussize="0,0"/>
              <v:stroke on="f"/>
              <v:imagedata o:title=""/>
              <o:lock v:ext="edit" aspectratio="f"/>
              <v:textbox inset="0mm,0mm,0mm,0mm" style="mso-fit-shape-to-text:t;">
                <w:txbxContent>
                  <w:p w14:paraId="2A561EF5">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241E2">
    <w:pPr>
      <w:spacing w:line="169" w:lineRule="auto"/>
      <w:ind w:left="4064"/>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80DA2">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4080DA2">
                    <w:pPr>
                      <w:pStyle w:val="17"/>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E726F">
    <w:pPr>
      <w:pStyle w:val="17"/>
      <w:tabs>
        <w:tab w:val="center" w:pos="4649"/>
        <w:tab w:val="clear" w:pos="4153"/>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45F0EA">
                          <w:pPr>
                            <w:pStyle w:val="17"/>
                          </w:pPr>
                          <w:r>
                            <w:fldChar w:fldCharType="begin"/>
                          </w:r>
                          <w:r>
                            <w:instrText xml:space="preserve"> PAGE  \* MERGEFORMAT </w:instrText>
                          </w:r>
                          <w:r>
                            <w:fldChar w:fldCharType="separate"/>
                          </w:r>
                          <w:r>
                            <w:t>90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E45F0EA">
                    <w:pPr>
                      <w:pStyle w:val="17"/>
                    </w:pPr>
                    <w:r>
                      <w:fldChar w:fldCharType="begin"/>
                    </w:r>
                    <w:r>
                      <w:instrText xml:space="preserve"> PAGE  \* MERGEFORMAT </w:instrText>
                    </w:r>
                    <w:r>
                      <w:fldChar w:fldCharType="separate"/>
                    </w:r>
                    <w:r>
                      <w:t>90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12"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482ABFD">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Nim+c0PAgAAEgQAAA4AAAAAAAAAAQAgAAAA&#10;HwEAAGRycy9lMm9Eb2MueG1sUEsFBgAAAAAGAAYAWQEAAKAFAAAAAA==&#10;">
              <v:fill on="f" focussize="0,0"/>
              <v:stroke on="f"/>
              <v:imagedata o:title=""/>
              <o:lock v:ext="edit" aspectratio="f"/>
              <v:textbox inset="0mm,0mm,0mm,0mm" style="mso-fit-shape-to-text:t;">
                <w:txbxContent>
                  <w:p w14:paraId="6482ABFD">
                    <w:pPr>
                      <w:snapToGrid w:val="0"/>
                      <w:rPr>
                        <w:sz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251E6">
    <w:pPr>
      <w:spacing w:line="169" w:lineRule="auto"/>
      <w:ind w:left="4215"/>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D50AA">
                          <w:pPr>
                            <w:pStyle w:val="17"/>
                          </w:pPr>
                          <w:r>
                            <w:fldChar w:fldCharType="begin"/>
                          </w:r>
                          <w:r>
                            <w:instrText xml:space="preserve"> PAGE  \* MERGEFORMAT </w:instrText>
                          </w:r>
                          <w:r>
                            <w:fldChar w:fldCharType="separate"/>
                          </w:r>
                          <w:r>
                            <w:t>158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D5D50AA">
                    <w:pPr>
                      <w:pStyle w:val="17"/>
                    </w:pPr>
                    <w:r>
                      <w:fldChar w:fldCharType="begin"/>
                    </w:r>
                    <w:r>
                      <w:instrText xml:space="preserve"> PAGE  \* MERGEFORMAT </w:instrText>
                    </w:r>
                    <w:r>
                      <w:fldChar w:fldCharType="separate"/>
                    </w:r>
                    <w:r>
                      <w:t>158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DC227">
    <w:pPr>
      <w:spacing w:line="169" w:lineRule="auto"/>
      <w:ind w:left="421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ED0B9">
                          <w:pPr>
                            <w:pStyle w:val="17"/>
                          </w:pPr>
                          <w:r>
                            <w:fldChar w:fldCharType="begin"/>
                          </w:r>
                          <w:r>
                            <w:instrText xml:space="preserve"> PAGE  \* MERGEFORMAT </w:instrText>
                          </w:r>
                          <w:r>
                            <w:fldChar w:fldCharType="separate"/>
                          </w:r>
                          <w:r>
                            <w:t>159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C8ED0B9">
                    <w:pPr>
                      <w:pStyle w:val="17"/>
                    </w:pPr>
                    <w:r>
                      <w:fldChar w:fldCharType="begin"/>
                    </w:r>
                    <w:r>
                      <w:instrText xml:space="preserve"> PAGE  \* MERGEFORMAT </w:instrText>
                    </w:r>
                    <w:r>
                      <w:fldChar w:fldCharType="separate"/>
                    </w:r>
                    <w:r>
                      <w:t>159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AB74">
    <w:pPr>
      <w:spacing w:line="169" w:lineRule="auto"/>
      <w:ind w:left="4215"/>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75743">
                          <w:pPr>
                            <w:pStyle w:val="17"/>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AA75743">
                    <w:pPr>
                      <w:pStyle w:val="17"/>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19BB4">
    <w:pPr>
      <w:spacing w:line="169" w:lineRule="auto"/>
      <w:ind w:left="4215"/>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8154C">
                          <w:pPr>
                            <w:pStyle w:val="17"/>
                          </w:pPr>
                          <w:r>
                            <w:fldChar w:fldCharType="begin"/>
                          </w:r>
                          <w:r>
                            <w:instrText xml:space="preserve"> PAGE  \* MERGEFORMAT </w:instrText>
                          </w:r>
                          <w:r>
                            <w:fldChar w:fldCharType="separate"/>
                          </w:r>
                          <w:r>
                            <w:t>161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4F8154C">
                    <w:pPr>
                      <w:pStyle w:val="17"/>
                    </w:pPr>
                    <w:r>
                      <w:fldChar w:fldCharType="begin"/>
                    </w:r>
                    <w:r>
                      <w:instrText xml:space="preserve"> PAGE  \* MERGEFORMAT </w:instrText>
                    </w:r>
                    <w:r>
                      <w:fldChar w:fldCharType="separate"/>
                    </w:r>
                    <w:r>
                      <w:t>161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A758C">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00B46D">
                          <w:pPr>
                            <w:pStyle w:val="17"/>
                          </w:pPr>
                          <w:r>
                            <w:fldChar w:fldCharType="begin"/>
                          </w:r>
                          <w:r>
                            <w:instrText xml:space="preserve"> PAGE  \* MERGEFORMAT </w:instrText>
                          </w:r>
                          <w:r>
                            <w:fldChar w:fldCharType="separate"/>
                          </w:r>
                          <w:r>
                            <w:t>165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200B46D">
                    <w:pPr>
                      <w:pStyle w:val="17"/>
                    </w:pPr>
                    <w:r>
                      <w:fldChar w:fldCharType="begin"/>
                    </w:r>
                    <w:r>
                      <w:instrText xml:space="preserve"> PAGE  \* MERGEFORMAT </w:instrText>
                    </w:r>
                    <w:r>
                      <w:fldChar w:fldCharType="separate"/>
                    </w:r>
                    <w:r>
                      <w:t>165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70C90">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70777">
                          <w:pPr>
                            <w:pStyle w:val="17"/>
                          </w:pPr>
                          <w:r>
                            <w:fldChar w:fldCharType="begin"/>
                          </w:r>
                          <w:r>
                            <w:instrText xml:space="preserve"> PAGE  \* MERGEFORMAT </w:instrText>
                          </w:r>
                          <w:r>
                            <w:fldChar w:fldCharType="separate"/>
                          </w:r>
                          <w:r>
                            <w:t>166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7970777">
                    <w:pPr>
                      <w:pStyle w:val="17"/>
                    </w:pPr>
                    <w:r>
                      <w:fldChar w:fldCharType="begin"/>
                    </w:r>
                    <w:r>
                      <w:instrText xml:space="preserve"> PAGE  \* MERGEFORMAT </w:instrText>
                    </w:r>
                    <w:r>
                      <w:fldChar w:fldCharType="separate"/>
                    </w:r>
                    <w:r>
                      <w:t>166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404AE">
    <w:pPr>
      <w:spacing w:line="169" w:lineRule="auto"/>
      <w:ind w:left="4103"/>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83C3F">
                          <w:pPr>
                            <w:pStyle w:val="17"/>
                          </w:pPr>
                          <w:r>
                            <w:fldChar w:fldCharType="begin"/>
                          </w:r>
                          <w:r>
                            <w:instrText xml:space="preserve"> PAGE  \* MERGEFORMAT </w:instrText>
                          </w:r>
                          <w:r>
                            <w:fldChar w:fldCharType="separate"/>
                          </w:r>
                          <w:r>
                            <w:t>194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8F83C3F">
                    <w:pPr>
                      <w:pStyle w:val="17"/>
                    </w:pPr>
                    <w:r>
                      <w:fldChar w:fldCharType="begin"/>
                    </w:r>
                    <w:r>
                      <w:instrText xml:space="preserve"> PAGE  \* MERGEFORMAT </w:instrText>
                    </w:r>
                    <w:r>
                      <w:fldChar w:fldCharType="separate"/>
                    </w:r>
                    <w:r>
                      <w:t>194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D5D9A">
    <w:pPr>
      <w:spacing w:line="168"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A8164">
                          <w:pPr>
                            <w:pStyle w:val="17"/>
                          </w:pPr>
                          <w:r>
                            <w:fldChar w:fldCharType="begin"/>
                          </w:r>
                          <w:r>
                            <w:instrText xml:space="preserve"> PAGE  \* MERGEFORMAT </w:instrText>
                          </w:r>
                          <w:r>
                            <w:fldChar w:fldCharType="separate"/>
                          </w:r>
                          <w:r>
                            <w:t>170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9EA8164">
                    <w:pPr>
                      <w:pStyle w:val="17"/>
                    </w:pPr>
                    <w:r>
                      <w:fldChar w:fldCharType="begin"/>
                    </w:r>
                    <w:r>
                      <w:instrText xml:space="preserve"> PAGE  \* MERGEFORMAT </w:instrText>
                    </w:r>
                    <w:r>
                      <w:fldChar w:fldCharType="separate"/>
                    </w:r>
                    <w:r>
                      <w:t>170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ADEA5">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683AD1">
                          <w:pPr>
                            <w:pStyle w:val="17"/>
                          </w:pPr>
                          <w:r>
                            <w:fldChar w:fldCharType="begin"/>
                          </w:r>
                          <w:r>
                            <w:instrText xml:space="preserve"> PAGE  \* MERGEFORMAT </w:instrText>
                          </w:r>
                          <w:r>
                            <w:fldChar w:fldCharType="separate"/>
                          </w:r>
                          <w:r>
                            <w:t>172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0683AD1">
                    <w:pPr>
                      <w:pStyle w:val="17"/>
                    </w:pPr>
                    <w:r>
                      <w:fldChar w:fldCharType="begin"/>
                    </w:r>
                    <w:r>
                      <w:instrText xml:space="preserve"> PAGE  \* MERGEFORMAT </w:instrText>
                    </w:r>
                    <w:r>
                      <w:fldChar w:fldCharType="separate"/>
                    </w:r>
                    <w:r>
                      <w:t>172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71EDD">
    <w:pPr>
      <w:spacing w:line="169" w:lineRule="auto"/>
      <w:ind w:left="409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DCEEB">
                          <w:pPr>
                            <w:pStyle w:val="17"/>
                          </w:pPr>
                          <w:r>
                            <w:fldChar w:fldCharType="begin"/>
                          </w:r>
                          <w:r>
                            <w:instrText xml:space="preserve"> PAGE  \* MERGEFORMAT </w:instrText>
                          </w:r>
                          <w:r>
                            <w:fldChar w:fldCharType="separate"/>
                          </w:r>
                          <w:r>
                            <w:t>181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23FDCEEB">
                    <w:pPr>
                      <w:pStyle w:val="17"/>
                    </w:pPr>
                    <w:r>
                      <w:fldChar w:fldCharType="begin"/>
                    </w:r>
                    <w:r>
                      <w:instrText xml:space="preserve"> PAGE  \* MERGEFORMAT </w:instrText>
                    </w:r>
                    <w:r>
                      <w:fldChar w:fldCharType="separate"/>
                    </w:r>
                    <w:r>
                      <w:t>181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7CACB">
    <w:pPr>
      <w:spacing w:line="169" w:lineRule="auto"/>
      <w:ind w:left="4235"/>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9EEA3">
                          <w:pPr>
                            <w:pStyle w:val="17"/>
                          </w:pPr>
                          <w:r>
                            <w:fldChar w:fldCharType="begin"/>
                          </w:r>
                          <w:r>
                            <w:instrText xml:space="preserve"> PAGE  \* MERGEFORMAT </w:instrText>
                          </w:r>
                          <w:r>
                            <w:fldChar w:fldCharType="separate"/>
                          </w:r>
                          <w:r>
                            <w:t>183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5EC9EEA3">
                    <w:pPr>
                      <w:pStyle w:val="17"/>
                    </w:pPr>
                    <w:r>
                      <w:fldChar w:fldCharType="begin"/>
                    </w:r>
                    <w:r>
                      <w:instrText xml:space="preserve"> PAGE  \* MERGEFORMAT </w:instrText>
                    </w:r>
                    <w:r>
                      <w:fldChar w:fldCharType="separate"/>
                    </w:r>
                    <w:r>
                      <w:t>183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A82C7">
    <w:pPr>
      <w:spacing w:line="169" w:lineRule="auto"/>
      <w:ind w:left="4132"/>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B7D46">
                          <w:pPr>
                            <w:pStyle w:val="17"/>
                          </w:pPr>
                          <w:r>
                            <w:fldChar w:fldCharType="begin"/>
                          </w:r>
                          <w:r>
                            <w:instrText xml:space="preserve"> PAGE  \* MERGEFORMAT </w:instrText>
                          </w:r>
                          <w:r>
                            <w:fldChar w:fldCharType="separate"/>
                          </w:r>
                          <w:r>
                            <w:t>184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D8B7D46">
                    <w:pPr>
                      <w:pStyle w:val="17"/>
                    </w:pPr>
                    <w:r>
                      <w:fldChar w:fldCharType="begin"/>
                    </w:r>
                    <w:r>
                      <w:instrText xml:space="preserve"> PAGE  \* MERGEFORMAT </w:instrText>
                    </w:r>
                    <w:r>
                      <w:fldChar w:fldCharType="separate"/>
                    </w:r>
                    <w:r>
                      <w:t>184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BB306">
    <w:pPr>
      <w:spacing w:line="169" w:lineRule="auto"/>
      <w:ind w:left="4215"/>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0987A">
                          <w:pPr>
                            <w:pStyle w:val="17"/>
                          </w:pPr>
                          <w:r>
                            <w:fldChar w:fldCharType="begin"/>
                          </w:r>
                          <w:r>
                            <w:instrText xml:space="preserve"> PAGE  \* MERGEFORMAT </w:instrText>
                          </w:r>
                          <w:r>
                            <w:fldChar w:fldCharType="separate"/>
                          </w:r>
                          <w:r>
                            <w:t>187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3E00987A">
                    <w:pPr>
                      <w:pStyle w:val="17"/>
                    </w:pPr>
                    <w:r>
                      <w:fldChar w:fldCharType="begin"/>
                    </w:r>
                    <w:r>
                      <w:instrText xml:space="preserve"> PAGE  \* MERGEFORMAT </w:instrText>
                    </w:r>
                    <w:r>
                      <w:fldChar w:fldCharType="separate"/>
                    </w:r>
                    <w:r>
                      <w:t>187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FD02D">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93F51">
                          <w:pPr>
                            <w:pStyle w:val="17"/>
                          </w:pPr>
                          <w:r>
                            <w:fldChar w:fldCharType="begin"/>
                          </w:r>
                          <w:r>
                            <w:instrText xml:space="preserve"> PAGE  \* MERGEFORMAT </w:instrText>
                          </w:r>
                          <w:r>
                            <w:fldChar w:fldCharType="separate"/>
                          </w:r>
                          <w:r>
                            <w:t>188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68793F51">
                    <w:pPr>
                      <w:pStyle w:val="17"/>
                    </w:pPr>
                    <w:r>
                      <w:fldChar w:fldCharType="begin"/>
                    </w:r>
                    <w:r>
                      <w:instrText xml:space="preserve"> PAGE  \* MERGEFORMAT </w:instrText>
                    </w:r>
                    <w:r>
                      <w:fldChar w:fldCharType="separate"/>
                    </w:r>
                    <w:r>
                      <w:t>188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DF28D">
    <w:pPr>
      <w:spacing w:line="169" w:lineRule="auto"/>
      <w:ind w:left="4026"/>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FE4976">
                          <w:pPr>
                            <w:pStyle w:val="17"/>
                          </w:pPr>
                          <w:r>
                            <w:fldChar w:fldCharType="begin"/>
                          </w:r>
                          <w:r>
                            <w:instrText xml:space="preserve"> PAGE  \* MERGEFORMAT </w:instrText>
                          </w:r>
                          <w:r>
                            <w:fldChar w:fldCharType="separate"/>
                          </w:r>
                          <w:r>
                            <w:t>189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2FE4976">
                    <w:pPr>
                      <w:pStyle w:val="17"/>
                    </w:pPr>
                    <w:r>
                      <w:fldChar w:fldCharType="begin"/>
                    </w:r>
                    <w:r>
                      <w:instrText xml:space="preserve"> PAGE  \* MERGEFORMAT </w:instrText>
                    </w:r>
                    <w:r>
                      <w:fldChar w:fldCharType="separate"/>
                    </w:r>
                    <w:r>
                      <w:t>189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5CB33">
    <w:pPr>
      <w:spacing w:line="169" w:lineRule="auto"/>
      <w:ind w:left="4093"/>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945AA3">
                          <w:pPr>
                            <w:pStyle w:val="17"/>
                          </w:pPr>
                          <w:r>
                            <w:fldChar w:fldCharType="begin"/>
                          </w:r>
                          <w:r>
                            <w:instrText xml:space="preserve"> PAGE  \* MERGEFORMAT </w:instrText>
                          </w:r>
                          <w:r>
                            <w:fldChar w:fldCharType="separate"/>
                          </w:r>
                          <w:r>
                            <w:t>190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18945AA3">
                    <w:pPr>
                      <w:pStyle w:val="17"/>
                    </w:pPr>
                    <w:r>
                      <w:fldChar w:fldCharType="begin"/>
                    </w:r>
                    <w:r>
                      <w:instrText xml:space="preserve"> PAGE  \* MERGEFORMAT </w:instrText>
                    </w:r>
                    <w:r>
                      <w:fldChar w:fldCharType="separate"/>
                    </w:r>
                    <w:r>
                      <w:t>190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426A6">
    <w:pPr>
      <w:spacing w:line="169" w:lineRule="auto"/>
      <w:ind w:left="4103"/>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CB3D8">
                          <w:pPr>
                            <w:pStyle w:val="17"/>
                          </w:pPr>
                          <w:r>
                            <w:fldChar w:fldCharType="begin"/>
                          </w:r>
                          <w:r>
                            <w:instrText xml:space="preserve"> PAGE  \* MERGEFORMAT </w:instrText>
                          </w:r>
                          <w:r>
                            <w:fldChar w:fldCharType="separate"/>
                          </w:r>
                          <w:r>
                            <w:t>192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21CB3D8">
                    <w:pPr>
                      <w:pStyle w:val="17"/>
                    </w:pPr>
                    <w:r>
                      <w:fldChar w:fldCharType="begin"/>
                    </w:r>
                    <w:r>
                      <w:instrText xml:space="preserve"> PAGE  \* MERGEFORMAT </w:instrText>
                    </w:r>
                    <w:r>
                      <w:fldChar w:fldCharType="separate"/>
                    </w:r>
                    <w:r>
                      <w:t>192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2F80F">
    <w:pPr>
      <w:spacing w:line="169" w:lineRule="auto"/>
      <w:ind w:left="4391"/>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52FBB">
                          <w:pPr>
                            <w:pStyle w:val="17"/>
                          </w:pPr>
                          <w:r>
                            <w:fldChar w:fldCharType="begin"/>
                          </w:r>
                          <w:r>
                            <w:instrText xml:space="preserve"> PAGE  \* MERGEFORMAT </w:instrText>
                          </w:r>
                          <w:r>
                            <w:fldChar w:fldCharType="separate"/>
                          </w:r>
                          <w:r>
                            <w:t>193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19352FBB">
                    <w:pPr>
                      <w:pStyle w:val="17"/>
                    </w:pPr>
                    <w:r>
                      <w:fldChar w:fldCharType="begin"/>
                    </w:r>
                    <w:r>
                      <w:instrText xml:space="preserve"> PAGE  \* MERGEFORMAT </w:instrText>
                    </w:r>
                    <w:r>
                      <w:fldChar w:fldCharType="separate"/>
                    </w:r>
                    <w:r>
                      <w:t>193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0E280">
    <w:pPr>
      <w:spacing w:line="169" w:lineRule="auto"/>
      <w:ind w:left="4103"/>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B5ACA">
                          <w:pPr>
                            <w:pStyle w:val="17"/>
                          </w:pPr>
                          <w:r>
                            <w:fldChar w:fldCharType="begin"/>
                          </w:r>
                          <w:r>
                            <w:instrText xml:space="preserve"> PAGE  \* MERGEFORMAT </w:instrText>
                          </w:r>
                          <w:r>
                            <w:fldChar w:fldCharType="separate"/>
                          </w:r>
                          <w:r>
                            <w:t>194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665B5ACA">
                    <w:pPr>
                      <w:pStyle w:val="17"/>
                    </w:pPr>
                    <w:r>
                      <w:fldChar w:fldCharType="begin"/>
                    </w:r>
                    <w:r>
                      <w:instrText xml:space="preserve"> PAGE  \* MERGEFORMAT </w:instrText>
                    </w:r>
                    <w:r>
                      <w:fldChar w:fldCharType="separate"/>
                    </w:r>
                    <w:r>
                      <w:t>194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392D3">
    <w:pPr>
      <w:spacing w:line="169" w:lineRule="auto"/>
      <w:ind w:left="4092"/>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5EC471">
                          <w:pPr>
                            <w:pStyle w:val="17"/>
                          </w:pPr>
                          <w:r>
                            <w:fldChar w:fldCharType="begin"/>
                          </w:r>
                          <w:r>
                            <w:instrText xml:space="preserve"> PAGE  \* MERGEFORMAT </w:instrText>
                          </w:r>
                          <w:r>
                            <w:fldChar w:fldCharType="separate"/>
                          </w:r>
                          <w:r>
                            <w:t>195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2F5EC471">
                    <w:pPr>
                      <w:pStyle w:val="17"/>
                    </w:pPr>
                    <w:r>
                      <w:fldChar w:fldCharType="begin"/>
                    </w:r>
                    <w:r>
                      <w:instrText xml:space="preserve"> PAGE  \* MERGEFORMAT </w:instrText>
                    </w:r>
                    <w:r>
                      <w:fldChar w:fldCharType="separate"/>
                    </w:r>
                    <w:r>
                      <w:t>195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84370">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CE2693">
                          <w:pPr>
                            <w:pStyle w:val="17"/>
                          </w:pPr>
                          <w:r>
                            <w:fldChar w:fldCharType="begin"/>
                          </w:r>
                          <w:r>
                            <w:instrText xml:space="preserve"> PAGE  \* MERGEFORMAT </w:instrText>
                          </w:r>
                          <w:r>
                            <w:fldChar w:fldCharType="separate"/>
                          </w:r>
                          <w:r>
                            <w:t>112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ECE2693">
                    <w:pPr>
                      <w:pStyle w:val="17"/>
                    </w:pPr>
                    <w:r>
                      <w:fldChar w:fldCharType="begin"/>
                    </w:r>
                    <w:r>
                      <w:instrText xml:space="preserve"> PAGE  \* MERGEFORMAT </w:instrText>
                    </w:r>
                    <w:r>
                      <w:fldChar w:fldCharType="separate"/>
                    </w:r>
                    <w:r>
                      <w:t>112</w:t>
                    </w:r>
                    <w:r>
                      <w:fldChar w:fldCharType="end"/>
                    </w:r>
                  </w:p>
                </w:txbxContent>
              </v:textbox>
            </v:shape>
          </w:pict>
        </mc:Fallback>
      </mc:AlternateContent>
    </w:r>
  </w:p>
  <w:p w14:paraId="389A4AE0">
    <w:pPr>
      <w:pStyle w:val="10"/>
      <w:kinsoku w:val="0"/>
      <w:overflowPunct w:val="0"/>
      <w:spacing w:line="14" w:lineRule="auto"/>
      <w:ind w:left="0"/>
      <w:rPr>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72A69">
    <w:pPr>
      <w:pStyle w:val="19"/>
      <w:jc w:val="both"/>
      <w:rPr>
        <w:rFonts w:hint="eastAsia" w:ascii="楷体" w:hAnsi="楷体" w:eastAsia="楷体" w:cs="楷体"/>
        <w:sz w:val="18"/>
        <w:szCs w:val="18"/>
        <w:lang w:val="en-US" w:eastAsia="zh-CN"/>
      </w:rPr>
    </w:pPr>
  </w:p>
  <w:p w14:paraId="24749D30">
    <w:pPr>
      <w:pStyle w:val="19"/>
      <w:jc w:val="center"/>
      <w:rPr>
        <w:rFonts w:hint="eastAsia" w:ascii="楷体" w:hAnsi="楷体" w:eastAsia="楷体" w:cs="楷体"/>
        <w:sz w:val="18"/>
        <w:szCs w:val="18"/>
      </w:rPr>
    </w:pPr>
    <w:r>
      <w:rPr>
        <w:rFonts w:hint="eastAsia" w:ascii="楷体" w:hAnsi="楷体" w:eastAsia="楷体" w:cs="楷体"/>
        <w:sz w:val="18"/>
        <w:szCs w:val="18"/>
        <w:lang w:val="en-US" w:eastAsia="zh-CN"/>
      </w:rPr>
      <w:t>开化县城市有机更新共同富裕建设项目安置地（一）基础及室外附属设施配套工程—高压配电工程总承包（EPC）</w:t>
    </w:r>
    <w:r>
      <w:rPr>
        <w:rFonts w:hint="eastAsia" w:ascii="楷体" w:hAnsi="楷体" w:eastAsia="楷体" w:cs="楷体"/>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06DA5">
    <w:pPr>
      <w:pStyle w:val="19"/>
      <w:jc w:val="center"/>
      <w:rPr>
        <w:rFonts w:hint="eastAsia" w:ascii="楷体" w:hAnsi="楷体" w:eastAsia="楷体" w:cs="楷体"/>
        <w:sz w:val="18"/>
        <w:szCs w:val="18"/>
      </w:rPr>
    </w:pPr>
    <w:r>
      <w:rPr>
        <w:rFonts w:hint="eastAsia" w:ascii="楷体" w:hAnsi="楷体" w:eastAsia="楷体" w:cs="楷体"/>
        <w:sz w:val="18"/>
        <w:szCs w:val="18"/>
        <w:lang w:val="en-US" w:eastAsia="zh-CN"/>
      </w:rPr>
      <w:t>开化县城市有机更新共同富裕建设项目安置地（一）基础及室外附属设施配套工程—高压配电工程总承包（EPC）</w:t>
    </w:r>
    <w:r>
      <w:rPr>
        <w:rFonts w:hint="eastAsia" w:ascii="楷体" w:hAnsi="楷体" w:eastAsia="楷体" w:cs="楷体"/>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43129"/>
    <w:multiLevelType w:val="singleLevel"/>
    <w:tmpl w:val="91E43129"/>
    <w:lvl w:ilvl="0" w:tentative="0">
      <w:start w:val="1"/>
      <w:numFmt w:val="decimal"/>
      <w:suff w:val="nothing"/>
      <w:lvlText w:val="（%1）"/>
      <w:lvlJc w:val="left"/>
    </w:lvl>
  </w:abstractNum>
  <w:abstractNum w:abstractNumId="1">
    <w:nsid w:val="959507EC"/>
    <w:multiLevelType w:val="singleLevel"/>
    <w:tmpl w:val="959507EC"/>
    <w:lvl w:ilvl="0" w:tentative="0">
      <w:start w:val="1"/>
      <w:numFmt w:val="decimal"/>
      <w:lvlText w:val="%1."/>
      <w:lvlJc w:val="left"/>
      <w:pPr>
        <w:tabs>
          <w:tab w:val="left" w:pos="312"/>
        </w:tabs>
      </w:pPr>
    </w:lvl>
  </w:abstractNum>
  <w:abstractNum w:abstractNumId="2">
    <w:nsid w:val="A2A758B5"/>
    <w:multiLevelType w:val="singleLevel"/>
    <w:tmpl w:val="A2A758B5"/>
    <w:lvl w:ilvl="0" w:tentative="0">
      <w:start w:val="1"/>
      <w:numFmt w:val="decimal"/>
      <w:suff w:val="space"/>
      <w:lvlText w:val="%1."/>
      <w:lvlJc w:val="left"/>
    </w:lvl>
  </w:abstractNum>
  <w:abstractNum w:abstractNumId="3">
    <w:nsid w:val="A9AC3AA7"/>
    <w:multiLevelType w:val="singleLevel"/>
    <w:tmpl w:val="A9AC3AA7"/>
    <w:lvl w:ilvl="0" w:tentative="0">
      <w:start w:val="1"/>
      <w:numFmt w:val="decimal"/>
      <w:lvlText w:val="(%1)"/>
      <w:lvlJc w:val="left"/>
      <w:pPr>
        <w:tabs>
          <w:tab w:val="left" w:pos="312"/>
        </w:tabs>
      </w:pPr>
    </w:lvl>
  </w:abstractNum>
  <w:abstractNum w:abstractNumId="4">
    <w:nsid w:val="AB6F886F"/>
    <w:multiLevelType w:val="singleLevel"/>
    <w:tmpl w:val="AB6F886F"/>
    <w:lvl w:ilvl="0" w:tentative="0">
      <w:start w:val="1"/>
      <w:numFmt w:val="bullet"/>
      <w:pStyle w:val="13"/>
      <w:lvlText w:val=""/>
      <w:lvlJc w:val="left"/>
      <w:pPr>
        <w:tabs>
          <w:tab w:val="left" w:pos="780"/>
        </w:tabs>
        <w:ind w:left="780" w:hanging="360"/>
      </w:pPr>
      <w:rPr>
        <w:rFonts w:hint="default" w:ascii="Wingdings" w:hAnsi="Wingdings"/>
      </w:rPr>
    </w:lvl>
  </w:abstractNum>
  <w:abstractNum w:abstractNumId="5">
    <w:nsid w:val="B76ED2F7"/>
    <w:multiLevelType w:val="singleLevel"/>
    <w:tmpl w:val="B76ED2F7"/>
    <w:lvl w:ilvl="0" w:tentative="0">
      <w:start w:val="1"/>
      <w:numFmt w:val="chineseCounting"/>
      <w:suff w:val="space"/>
      <w:lvlText w:val="第%1章"/>
      <w:lvlJc w:val="left"/>
      <w:rPr>
        <w:rFonts w:hint="eastAsia"/>
      </w:rPr>
    </w:lvl>
  </w:abstractNum>
  <w:abstractNum w:abstractNumId="6">
    <w:nsid w:val="BB64CFA9"/>
    <w:multiLevelType w:val="multilevel"/>
    <w:tmpl w:val="BB64CFA9"/>
    <w:lvl w:ilvl="0" w:tentative="0">
      <w:start w:val="18"/>
      <w:numFmt w:val="decimal"/>
      <w:lvlText w:val="%1"/>
      <w:lvlJc w:val="left"/>
      <w:pPr>
        <w:ind w:left="1572" w:hanging="552"/>
      </w:pPr>
      <w:rPr>
        <w:rFonts w:hint="default"/>
        <w:lang w:val="zh-CN" w:eastAsia="zh-CN" w:bidi="zh-CN"/>
      </w:rPr>
    </w:lvl>
    <w:lvl w:ilvl="1" w:tentative="0">
      <w:start w:val="1"/>
      <w:numFmt w:val="decimal"/>
      <w:lvlText w:val="%1.%2"/>
      <w:lvlJc w:val="left"/>
      <w:pPr>
        <w:ind w:left="1572" w:hanging="552"/>
      </w:pPr>
      <w:rPr>
        <w:rFonts w:hint="default" w:ascii="宋体" w:hAnsi="宋体" w:eastAsia="宋体" w:cs="宋体"/>
        <w:w w:val="100"/>
        <w:sz w:val="22"/>
        <w:szCs w:val="22"/>
        <w:lang w:val="zh-CN" w:eastAsia="zh-CN" w:bidi="zh-CN"/>
      </w:rPr>
    </w:lvl>
    <w:lvl w:ilvl="2" w:tentative="0">
      <w:start w:val="1"/>
      <w:numFmt w:val="decimal"/>
      <w:lvlText w:val="%1.%2.%3"/>
      <w:lvlJc w:val="left"/>
      <w:pPr>
        <w:ind w:left="1793" w:hanging="773"/>
      </w:pPr>
      <w:rPr>
        <w:rFonts w:hint="default" w:ascii="宋体" w:hAnsi="宋体" w:eastAsia="宋体" w:cs="宋体"/>
        <w:w w:val="100"/>
        <w:sz w:val="22"/>
        <w:szCs w:val="22"/>
        <w:lang w:val="zh-CN" w:eastAsia="zh-CN" w:bidi="zh-CN"/>
      </w:rPr>
    </w:lvl>
    <w:lvl w:ilvl="3" w:tentative="0">
      <w:start w:val="0"/>
      <w:numFmt w:val="bullet"/>
      <w:lvlText w:val="•"/>
      <w:lvlJc w:val="left"/>
      <w:pPr>
        <w:ind w:left="3556" w:hanging="773"/>
      </w:pPr>
      <w:rPr>
        <w:rFonts w:hint="default"/>
        <w:lang w:val="zh-CN" w:eastAsia="zh-CN" w:bidi="zh-CN"/>
      </w:rPr>
    </w:lvl>
    <w:lvl w:ilvl="4" w:tentative="0">
      <w:start w:val="0"/>
      <w:numFmt w:val="bullet"/>
      <w:lvlText w:val="•"/>
      <w:lvlJc w:val="left"/>
      <w:pPr>
        <w:ind w:left="4435" w:hanging="773"/>
      </w:pPr>
      <w:rPr>
        <w:rFonts w:hint="default"/>
        <w:lang w:val="zh-CN" w:eastAsia="zh-CN" w:bidi="zh-CN"/>
      </w:rPr>
    </w:lvl>
    <w:lvl w:ilvl="5" w:tentative="0">
      <w:start w:val="0"/>
      <w:numFmt w:val="bullet"/>
      <w:lvlText w:val="•"/>
      <w:lvlJc w:val="left"/>
      <w:pPr>
        <w:ind w:left="5313" w:hanging="773"/>
      </w:pPr>
      <w:rPr>
        <w:rFonts w:hint="default"/>
        <w:lang w:val="zh-CN" w:eastAsia="zh-CN" w:bidi="zh-CN"/>
      </w:rPr>
    </w:lvl>
    <w:lvl w:ilvl="6" w:tentative="0">
      <w:start w:val="0"/>
      <w:numFmt w:val="bullet"/>
      <w:lvlText w:val="•"/>
      <w:lvlJc w:val="left"/>
      <w:pPr>
        <w:ind w:left="6192" w:hanging="773"/>
      </w:pPr>
      <w:rPr>
        <w:rFonts w:hint="default"/>
        <w:lang w:val="zh-CN" w:eastAsia="zh-CN" w:bidi="zh-CN"/>
      </w:rPr>
    </w:lvl>
    <w:lvl w:ilvl="7" w:tentative="0">
      <w:start w:val="0"/>
      <w:numFmt w:val="bullet"/>
      <w:lvlText w:val="•"/>
      <w:lvlJc w:val="left"/>
      <w:pPr>
        <w:ind w:left="7070" w:hanging="773"/>
      </w:pPr>
      <w:rPr>
        <w:rFonts w:hint="default"/>
        <w:lang w:val="zh-CN" w:eastAsia="zh-CN" w:bidi="zh-CN"/>
      </w:rPr>
    </w:lvl>
    <w:lvl w:ilvl="8" w:tentative="0">
      <w:start w:val="0"/>
      <w:numFmt w:val="bullet"/>
      <w:lvlText w:val="•"/>
      <w:lvlJc w:val="left"/>
      <w:pPr>
        <w:ind w:left="7949" w:hanging="773"/>
      </w:pPr>
      <w:rPr>
        <w:rFonts w:hint="default"/>
        <w:lang w:val="zh-CN" w:eastAsia="zh-CN" w:bidi="zh-CN"/>
      </w:rPr>
    </w:lvl>
  </w:abstractNum>
  <w:abstractNum w:abstractNumId="7">
    <w:nsid w:val="C426803F"/>
    <w:multiLevelType w:val="singleLevel"/>
    <w:tmpl w:val="C426803F"/>
    <w:lvl w:ilvl="0" w:tentative="0">
      <w:start w:val="2"/>
      <w:numFmt w:val="decimal"/>
      <w:lvlText w:val="%1."/>
      <w:lvlJc w:val="left"/>
      <w:pPr>
        <w:tabs>
          <w:tab w:val="left" w:pos="312"/>
        </w:tabs>
      </w:pPr>
    </w:lvl>
  </w:abstractNum>
  <w:abstractNum w:abstractNumId="8">
    <w:nsid w:val="CCFD246E"/>
    <w:multiLevelType w:val="singleLevel"/>
    <w:tmpl w:val="CCFD246E"/>
    <w:lvl w:ilvl="0" w:tentative="0">
      <w:start w:val="1"/>
      <w:numFmt w:val="chineseCounting"/>
      <w:suff w:val="nothing"/>
      <w:lvlText w:val="%1、"/>
      <w:lvlJc w:val="left"/>
      <w:rPr>
        <w:rFonts w:hint="eastAsia"/>
      </w:rPr>
    </w:lvl>
  </w:abstractNum>
  <w:abstractNum w:abstractNumId="9">
    <w:nsid w:val="D0B25879"/>
    <w:multiLevelType w:val="singleLevel"/>
    <w:tmpl w:val="D0B25879"/>
    <w:lvl w:ilvl="0" w:tentative="0">
      <w:start w:val="1"/>
      <w:numFmt w:val="decimal"/>
      <w:suff w:val="nothing"/>
      <w:lvlText w:val="%1、"/>
      <w:lvlJc w:val="left"/>
    </w:lvl>
  </w:abstractNum>
  <w:abstractNum w:abstractNumId="10">
    <w:nsid w:val="FD11456E"/>
    <w:multiLevelType w:val="singleLevel"/>
    <w:tmpl w:val="FD11456E"/>
    <w:lvl w:ilvl="0" w:tentative="0">
      <w:start w:val="1"/>
      <w:numFmt w:val="decimal"/>
      <w:lvlText w:val="%1."/>
      <w:lvlJc w:val="left"/>
      <w:pPr>
        <w:tabs>
          <w:tab w:val="left" w:pos="312"/>
        </w:tabs>
      </w:pPr>
    </w:lvl>
  </w:abstractNum>
  <w:abstractNum w:abstractNumId="11">
    <w:nsid w:val="00000009"/>
    <w:multiLevelType w:val="singleLevel"/>
    <w:tmpl w:val="00000009"/>
    <w:lvl w:ilvl="0" w:tentative="0">
      <w:start w:val="1"/>
      <w:numFmt w:val="decimal"/>
      <w:suff w:val="nothing"/>
      <w:lvlText w:val="（%1）"/>
      <w:lvlJc w:val="left"/>
      <w:pPr>
        <w:ind w:left="-2"/>
      </w:pPr>
    </w:lvl>
  </w:abstractNum>
  <w:abstractNum w:abstractNumId="12">
    <w:nsid w:val="12A2B31D"/>
    <w:multiLevelType w:val="singleLevel"/>
    <w:tmpl w:val="12A2B31D"/>
    <w:lvl w:ilvl="0" w:tentative="0">
      <w:start w:val="1"/>
      <w:numFmt w:val="chineseCounting"/>
      <w:suff w:val="space"/>
      <w:lvlText w:val="%1、"/>
      <w:lvlJc w:val="left"/>
      <w:rPr>
        <w:rFonts w:hint="eastAsia"/>
      </w:rPr>
    </w:lvl>
  </w:abstractNum>
  <w:abstractNum w:abstractNumId="13">
    <w:nsid w:val="157D04D6"/>
    <w:multiLevelType w:val="multilevel"/>
    <w:tmpl w:val="157D04D6"/>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4.%3 "/>
      <w:lvlJc w:val="left"/>
      <w:pPr>
        <w:ind w:left="993"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210E42B5"/>
    <w:multiLevelType w:val="singleLevel"/>
    <w:tmpl w:val="210E42B5"/>
    <w:lvl w:ilvl="0" w:tentative="0">
      <w:start w:val="1"/>
      <w:numFmt w:val="decimal"/>
      <w:suff w:val="nothing"/>
      <w:lvlText w:val="（%1）"/>
      <w:lvlJc w:val="left"/>
    </w:lvl>
  </w:abstractNum>
  <w:abstractNum w:abstractNumId="15">
    <w:nsid w:val="2490E981"/>
    <w:multiLevelType w:val="singleLevel"/>
    <w:tmpl w:val="2490E981"/>
    <w:lvl w:ilvl="0" w:tentative="0">
      <w:start w:val="4"/>
      <w:numFmt w:val="decimal"/>
      <w:suff w:val="nothing"/>
      <w:lvlText w:val="%1、"/>
      <w:lvlJc w:val="left"/>
    </w:lvl>
  </w:abstractNum>
  <w:abstractNum w:abstractNumId="16">
    <w:nsid w:val="47C439C4"/>
    <w:multiLevelType w:val="singleLevel"/>
    <w:tmpl w:val="47C439C4"/>
    <w:lvl w:ilvl="0" w:tentative="0">
      <w:start w:val="1"/>
      <w:numFmt w:val="decimal"/>
      <w:suff w:val="nothing"/>
      <w:lvlText w:val="（%1）"/>
      <w:lvlJc w:val="left"/>
    </w:lvl>
  </w:abstractNum>
  <w:abstractNum w:abstractNumId="17">
    <w:nsid w:val="499AAF15"/>
    <w:multiLevelType w:val="singleLevel"/>
    <w:tmpl w:val="499AAF15"/>
    <w:lvl w:ilvl="0" w:tentative="0">
      <w:start w:val="1"/>
      <w:numFmt w:val="bullet"/>
      <w:pStyle w:val="8"/>
      <w:lvlText w:val=""/>
      <w:lvlJc w:val="left"/>
      <w:pPr>
        <w:tabs>
          <w:tab w:val="left" w:pos="360"/>
        </w:tabs>
        <w:ind w:left="360" w:hanging="360"/>
      </w:pPr>
      <w:rPr>
        <w:rFonts w:hint="default" w:ascii="Wingdings" w:hAnsi="Wingdings"/>
      </w:rPr>
    </w:lvl>
  </w:abstractNum>
  <w:abstractNum w:abstractNumId="18">
    <w:nsid w:val="4A5014FA"/>
    <w:multiLevelType w:val="singleLevel"/>
    <w:tmpl w:val="4A5014FA"/>
    <w:lvl w:ilvl="0" w:tentative="0">
      <w:start w:val="1"/>
      <w:numFmt w:val="decimal"/>
      <w:suff w:val="space"/>
      <w:lvlText w:val="%1."/>
      <w:lvlJc w:val="left"/>
    </w:lvl>
  </w:abstractNum>
  <w:abstractNum w:abstractNumId="19">
    <w:nsid w:val="502F5755"/>
    <w:multiLevelType w:val="multilevel"/>
    <w:tmpl w:val="502F575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0">
    <w:nsid w:val="5F9F2BF2"/>
    <w:multiLevelType w:val="multilevel"/>
    <w:tmpl w:val="5F9F2BF2"/>
    <w:lvl w:ilvl="0" w:tentative="0">
      <w:start w:val="1"/>
      <w:numFmt w:val="decimal"/>
      <w:suff w:val="nothing"/>
      <w:lvlText w:val="（%1）"/>
      <w:lvlJc w:val="left"/>
      <w:pPr>
        <w:ind w:left="884" w:hanging="420"/>
      </w:pPr>
      <w:rPr>
        <w:rFonts w:hint="eastAsia"/>
      </w:rPr>
    </w:lvl>
    <w:lvl w:ilvl="1" w:tentative="0">
      <w:start w:val="1"/>
      <w:numFmt w:val="lowerLetter"/>
      <w:lvlText w:val="%2)"/>
      <w:lvlJc w:val="left"/>
      <w:pPr>
        <w:ind w:left="1304" w:hanging="420"/>
      </w:pPr>
      <w:rPr>
        <w:rFonts w:hint="eastAsia"/>
      </w:rPr>
    </w:lvl>
    <w:lvl w:ilvl="2" w:tentative="0">
      <w:start w:val="1"/>
      <w:numFmt w:val="lowerRoman"/>
      <w:lvlText w:val="%3."/>
      <w:lvlJc w:val="right"/>
      <w:pPr>
        <w:ind w:left="1724" w:hanging="420"/>
      </w:pPr>
      <w:rPr>
        <w:rFonts w:hint="eastAsia"/>
      </w:rPr>
    </w:lvl>
    <w:lvl w:ilvl="3" w:tentative="0">
      <w:start w:val="1"/>
      <w:numFmt w:val="decimal"/>
      <w:lvlText w:val="%4."/>
      <w:lvlJc w:val="left"/>
      <w:pPr>
        <w:ind w:left="2144" w:hanging="420"/>
      </w:pPr>
      <w:rPr>
        <w:rFonts w:hint="eastAsia"/>
      </w:rPr>
    </w:lvl>
    <w:lvl w:ilvl="4" w:tentative="0">
      <w:start w:val="1"/>
      <w:numFmt w:val="lowerLetter"/>
      <w:lvlText w:val="%5)"/>
      <w:lvlJc w:val="left"/>
      <w:pPr>
        <w:ind w:left="2564" w:hanging="420"/>
      </w:pPr>
      <w:rPr>
        <w:rFonts w:hint="eastAsia"/>
      </w:rPr>
    </w:lvl>
    <w:lvl w:ilvl="5" w:tentative="0">
      <w:start w:val="1"/>
      <w:numFmt w:val="lowerRoman"/>
      <w:lvlText w:val="%6."/>
      <w:lvlJc w:val="right"/>
      <w:pPr>
        <w:ind w:left="2984" w:hanging="420"/>
      </w:pPr>
      <w:rPr>
        <w:rFonts w:hint="eastAsia"/>
      </w:rPr>
    </w:lvl>
    <w:lvl w:ilvl="6" w:tentative="0">
      <w:start w:val="1"/>
      <w:numFmt w:val="decimal"/>
      <w:lvlText w:val="%7."/>
      <w:lvlJc w:val="left"/>
      <w:pPr>
        <w:ind w:left="3404" w:hanging="420"/>
      </w:pPr>
      <w:rPr>
        <w:rFonts w:hint="eastAsia"/>
      </w:rPr>
    </w:lvl>
    <w:lvl w:ilvl="7" w:tentative="0">
      <w:start w:val="1"/>
      <w:numFmt w:val="lowerLetter"/>
      <w:lvlText w:val="%8)"/>
      <w:lvlJc w:val="left"/>
      <w:pPr>
        <w:ind w:left="3824" w:hanging="420"/>
      </w:pPr>
      <w:rPr>
        <w:rFonts w:hint="eastAsia"/>
      </w:rPr>
    </w:lvl>
    <w:lvl w:ilvl="8" w:tentative="0">
      <w:start w:val="1"/>
      <w:numFmt w:val="lowerRoman"/>
      <w:lvlText w:val="%9."/>
      <w:lvlJc w:val="right"/>
      <w:pPr>
        <w:ind w:left="4244" w:hanging="420"/>
      </w:pPr>
      <w:rPr>
        <w:rFonts w:hint="eastAsia"/>
      </w:rPr>
    </w:lvl>
  </w:abstractNum>
  <w:abstractNum w:abstractNumId="21">
    <w:nsid w:val="62F110DF"/>
    <w:multiLevelType w:val="multilevel"/>
    <w:tmpl w:val="62F110DF"/>
    <w:lvl w:ilvl="0" w:tentative="0">
      <w:start w:val="1"/>
      <w:numFmt w:val="decimal"/>
      <w:suff w:val="nothing"/>
      <w:lvlText w:val="（%1）"/>
      <w:lvlJc w:val="left"/>
      <w:pPr>
        <w:ind w:left="900" w:hanging="42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22">
    <w:nsid w:val="66BC1659"/>
    <w:multiLevelType w:val="multilevel"/>
    <w:tmpl w:val="66BC1659"/>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2.%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682FA628"/>
    <w:multiLevelType w:val="singleLevel"/>
    <w:tmpl w:val="682FA628"/>
    <w:lvl w:ilvl="0" w:tentative="0">
      <w:start w:val="1"/>
      <w:numFmt w:val="decimal"/>
      <w:lvlText w:val="%1."/>
      <w:lvlJc w:val="left"/>
      <w:pPr>
        <w:tabs>
          <w:tab w:val="left" w:pos="312"/>
        </w:tabs>
      </w:pPr>
    </w:lvl>
  </w:abstractNum>
  <w:abstractNum w:abstractNumId="24">
    <w:nsid w:val="768C383E"/>
    <w:multiLevelType w:val="multilevel"/>
    <w:tmpl w:val="768C383E"/>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suff w:val="nothing"/>
      <w:lvlText w:val="%1.3.%3 "/>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5">
    <w:nsid w:val="7A7A5B24"/>
    <w:multiLevelType w:val="multilevel"/>
    <w:tmpl w:val="7A7A5B24"/>
    <w:lvl w:ilvl="0" w:tentative="0">
      <w:start w:val="1"/>
      <w:numFmt w:val="decimal"/>
      <w:suff w:val="nothing"/>
      <w:lvlText w:val="（%1）"/>
      <w:lvlJc w:val="left"/>
      <w:pPr>
        <w:ind w:left="1712" w:hanging="720"/>
      </w:pPr>
      <w:rPr>
        <w:rFonts w:hint="default"/>
        <w:color w:val="auto"/>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num w:numId="1">
    <w:abstractNumId w:val="17"/>
  </w:num>
  <w:num w:numId="2">
    <w:abstractNumId w:val="4"/>
  </w:num>
  <w:num w:numId="3">
    <w:abstractNumId w:val="5"/>
  </w:num>
  <w:num w:numId="4">
    <w:abstractNumId w:val="7"/>
  </w:num>
  <w:num w:numId="5">
    <w:abstractNumId w:val="18"/>
  </w:num>
  <w:num w:numId="6">
    <w:abstractNumId w:val="16"/>
  </w:num>
  <w:num w:numId="7">
    <w:abstractNumId w:val="14"/>
  </w:num>
  <w:num w:numId="8">
    <w:abstractNumId w:val="10"/>
  </w:num>
  <w:num w:numId="9">
    <w:abstractNumId w:val="2"/>
  </w:num>
  <w:num w:numId="10">
    <w:abstractNumId w:val="23"/>
  </w:num>
  <w:num w:numId="11">
    <w:abstractNumId w:val="1"/>
  </w:num>
  <w:num w:numId="12">
    <w:abstractNumId w:val="22"/>
  </w:num>
  <w:num w:numId="13">
    <w:abstractNumId w:val="24"/>
  </w:num>
  <w:num w:numId="14">
    <w:abstractNumId w:val="13"/>
  </w:num>
  <w:num w:numId="15">
    <w:abstractNumId w:val="19"/>
  </w:num>
  <w:num w:numId="16">
    <w:abstractNumId w:val="25"/>
  </w:num>
  <w:num w:numId="17">
    <w:abstractNumId w:val="21"/>
  </w:num>
  <w:num w:numId="18">
    <w:abstractNumId w:val="20"/>
  </w:num>
  <w:num w:numId="19">
    <w:abstractNumId w:val="9"/>
  </w:num>
  <w:num w:numId="20">
    <w:abstractNumId w:val="3"/>
  </w:num>
  <w:num w:numId="21">
    <w:abstractNumId w:val="0"/>
  </w:num>
  <w:num w:numId="22">
    <w:abstractNumId w:val="6"/>
  </w:num>
  <w:num w:numId="23">
    <w:abstractNumId w:val="15"/>
  </w:num>
  <w:num w:numId="24">
    <w:abstractNumId w:val="12"/>
  </w:num>
  <w:num w:numId="25">
    <w:abstractNumId w:val="1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IFumPo6aXCTjUpG9IKlPBcZ2a+c=" w:salt="eG4XFeWcn3MJVBTCk9w3B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yNTliMjRmZjhlOTVjNThhODIyN2M1ZGY2OTE4MDEifQ=="/>
  </w:docVars>
  <w:rsids>
    <w:rsidRoot w:val="2D0E3B17"/>
    <w:rsid w:val="0018274C"/>
    <w:rsid w:val="00415F6D"/>
    <w:rsid w:val="005303F4"/>
    <w:rsid w:val="008C18C8"/>
    <w:rsid w:val="00942F81"/>
    <w:rsid w:val="00AB663A"/>
    <w:rsid w:val="00B95CDD"/>
    <w:rsid w:val="00BC757B"/>
    <w:rsid w:val="00BE2BB9"/>
    <w:rsid w:val="00D52BE3"/>
    <w:rsid w:val="00E806D2"/>
    <w:rsid w:val="00E95F6C"/>
    <w:rsid w:val="0106674C"/>
    <w:rsid w:val="0112363F"/>
    <w:rsid w:val="01247720"/>
    <w:rsid w:val="01320F72"/>
    <w:rsid w:val="015C64C6"/>
    <w:rsid w:val="015E4C84"/>
    <w:rsid w:val="016F5995"/>
    <w:rsid w:val="0176423E"/>
    <w:rsid w:val="01770C0B"/>
    <w:rsid w:val="019D280D"/>
    <w:rsid w:val="01A84217"/>
    <w:rsid w:val="01AE235D"/>
    <w:rsid w:val="01B020A8"/>
    <w:rsid w:val="01B91719"/>
    <w:rsid w:val="01BF5037"/>
    <w:rsid w:val="01C944D6"/>
    <w:rsid w:val="01D30CA4"/>
    <w:rsid w:val="01F77570"/>
    <w:rsid w:val="020C629D"/>
    <w:rsid w:val="02335D41"/>
    <w:rsid w:val="02566FA4"/>
    <w:rsid w:val="02793073"/>
    <w:rsid w:val="02794597"/>
    <w:rsid w:val="0297204E"/>
    <w:rsid w:val="02987B74"/>
    <w:rsid w:val="02A814F4"/>
    <w:rsid w:val="02B31E75"/>
    <w:rsid w:val="02C637E1"/>
    <w:rsid w:val="02EA06AE"/>
    <w:rsid w:val="02EA149B"/>
    <w:rsid w:val="02F83A9F"/>
    <w:rsid w:val="030D40BE"/>
    <w:rsid w:val="03376BB8"/>
    <w:rsid w:val="0348680E"/>
    <w:rsid w:val="035717DD"/>
    <w:rsid w:val="035C7640"/>
    <w:rsid w:val="035E3ECC"/>
    <w:rsid w:val="036A59B4"/>
    <w:rsid w:val="036F35F5"/>
    <w:rsid w:val="037D47C7"/>
    <w:rsid w:val="03DD4046"/>
    <w:rsid w:val="03FD4132"/>
    <w:rsid w:val="04190023"/>
    <w:rsid w:val="04274F2B"/>
    <w:rsid w:val="042B5009"/>
    <w:rsid w:val="043117EF"/>
    <w:rsid w:val="04312700"/>
    <w:rsid w:val="04323463"/>
    <w:rsid w:val="04387860"/>
    <w:rsid w:val="043A15E5"/>
    <w:rsid w:val="04581CB1"/>
    <w:rsid w:val="047A095E"/>
    <w:rsid w:val="04B41715"/>
    <w:rsid w:val="04DA76EC"/>
    <w:rsid w:val="04FC221D"/>
    <w:rsid w:val="054F4E62"/>
    <w:rsid w:val="0554694C"/>
    <w:rsid w:val="05632518"/>
    <w:rsid w:val="056D0B77"/>
    <w:rsid w:val="056F1669"/>
    <w:rsid w:val="0571425F"/>
    <w:rsid w:val="0572069E"/>
    <w:rsid w:val="057E22D4"/>
    <w:rsid w:val="05B67D63"/>
    <w:rsid w:val="05BC6D40"/>
    <w:rsid w:val="05D021CE"/>
    <w:rsid w:val="05D11D1B"/>
    <w:rsid w:val="05EC6743"/>
    <w:rsid w:val="06080532"/>
    <w:rsid w:val="06085010"/>
    <w:rsid w:val="06155F13"/>
    <w:rsid w:val="06185304"/>
    <w:rsid w:val="06422F98"/>
    <w:rsid w:val="065B2026"/>
    <w:rsid w:val="06661D23"/>
    <w:rsid w:val="067957F8"/>
    <w:rsid w:val="069B0E77"/>
    <w:rsid w:val="069D4B42"/>
    <w:rsid w:val="06A91D04"/>
    <w:rsid w:val="06BB2083"/>
    <w:rsid w:val="06BD404D"/>
    <w:rsid w:val="06D10F0F"/>
    <w:rsid w:val="06FD269B"/>
    <w:rsid w:val="0716585A"/>
    <w:rsid w:val="071661B3"/>
    <w:rsid w:val="07716960"/>
    <w:rsid w:val="07820197"/>
    <w:rsid w:val="07E23BB7"/>
    <w:rsid w:val="07E90045"/>
    <w:rsid w:val="07F97BC5"/>
    <w:rsid w:val="07FB495C"/>
    <w:rsid w:val="080C5E8A"/>
    <w:rsid w:val="084A1993"/>
    <w:rsid w:val="085B1D6F"/>
    <w:rsid w:val="08772E23"/>
    <w:rsid w:val="08816951"/>
    <w:rsid w:val="08823E27"/>
    <w:rsid w:val="08E744A4"/>
    <w:rsid w:val="08FB0384"/>
    <w:rsid w:val="090B10A0"/>
    <w:rsid w:val="091118AA"/>
    <w:rsid w:val="091741BB"/>
    <w:rsid w:val="091F2D9D"/>
    <w:rsid w:val="094942C7"/>
    <w:rsid w:val="09746495"/>
    <w:rsid w:val="09815EC8"/>
    <w:rsid w:val="09886B94"/>
    <w:rsid w:val="099271F0"/>
    <w:rsid w:val="0995305F"/>
    <w:rsid w:val="09BD63C9"/>
    <w:rsid w:val="0A1158C9"/>
    <w:rsid w:val="0A124F9F"/>
    <w:rsid w:val="0A157CFC"/>
    <w:rsid w:val="0A310FDA"/>
    <w:rsid w:val="0A432ABB"/>
    <w:rsid w:val="0A454A85"/>
    <w:rsid w:val="0A5113DE"/>
    <w:rsid w:val="0A6E68D0"/>
    <w:rsid w:val="0ADD081A"/>
    <w:rsid w:val="0AE5646E"/>
    <w:rsid w:val="0AE61DC4"/>
    <w:rsid w:val="0B005BCC"/>
    <w:rsid w:val="0B15110A"/>
    <w:rsid w:val="0B157BAD"/>
    <w:rsid w:val="0B28146F"/>
    <w:rsid w:val="0B2A7A55"/>
    <w:rsid w:val="0B330E46"/>
    <w:rsid w:val="0B37269D"/>
    <w:rsid w:val="0B457ECA"/>
    <w:rsid w:val="0B4D3BF1"/>
    <w:rsid w:val="0B8F54E8"/>
    <w:rsid w:val="0BA46127"/>
    <w:rsid w:val="0BB92C99"/>
    <w:rsid w:val="0BEC74D8"/>
    <w:rsid w:val="0BEE5F55"/>
    <w:rsid w:val="0C061FF2"/>
    <w:rsid w:val="0C1F2B85"/>
    <w:rsid w:val="0C7B653C"/>
    <w:rsid w:val="0C7E3DA7"/>
    <w:rsid w:val="0C9161CA"/>
    <w:rsid w:val="0C9A5AE5"/>
    <w:rsid w:val="0CCE789E"/>
    <w:rsid w:val="0CDE6ACB"/>
    <w:rsid w:val="0CE20369"/>
    <w:rsid w:val="0CE40A82"/>
    <w:rsid w:val="0D183D8B"/>
    <w:rsid w:val="0D1D0481"/>
    <w:rsid w:val="0D4B3B53"/>
    <w:rsid w:val="0D75742F"/>
    <w:rsid w:val="0D811440"/>
    <w:rsid w:val="0D9A6E96"/>
    <w:rsid w:val="0D9D24E2"/>
    <w:rsid w:val="0DB066B9"/>
    <w:rsid w:val="0DB94BF2"/>
    <w:rsid w:val="0DBC0BBA"/>
    <w:rsid w:val="0DC316E2"/>
    <w:rsid w:val="0DCF786E"/>
    <w:rsid w:val="0DFA4F04"/>
    <w:rsid w:val="0E35393B"/>
    <w:rsid w:val="0E5139F9"/>
    <w:rsid w:val="0E624FB5"/>
    <w:rsid w:val="0EC817E1"/>
    <w:rsid w:val="0EDD5ED5"/>
    <w:rsid w:val="0EFF46D0"/>
    <w:rsid w:val="0F1455F1"/>
    <w:rsid w:val="0F381B7E"/>
    <w:rsid w:val="0F4126CB"/>
    <w:rsid w:val="0F7064D5"/>
    <w:rsid w:val="0F8E2A2A"/>
    <w:rsid w:val="0F957FDE"/>
    <w:rsid w:val="0FA5342F"/>
    <w:rsid w:val="0FBD4FFC"/>
    <w:rsid w:val="0FFE370C"/>
    <w:rsid w:val="10090303"/>
    <w:rsid w:val="100C40A0"/>
    <w:rsid w:val="10430B5C"/>
    <w:rsid w:val="10597598"/>
    <w:rsid w:val="107870C0"/>
    <w:rsid w:val="10903220"/>
    <w:rsid w:val="10AA08EC"/>
    <w:rsid w:val="10AC13BA"/>
    <w:rsid w:val="10B505C7"/>
    <w:rsid w:val="10BB784F"/>
    <w:rsid w:val="10C85AC8"/>
    <w:rsid w:val="10E247CC"/>
    <w:rsid w:val="10E36CAF"/>
    <w:rsid w:val="10F306FC"/>
    <w:rsid w:val="111D05D0"/>
    <w:rsid w:val="11356ABB"/>
    <w:rsid w:val="11671785"/>
    <w:rsid w:val="117F5D8D"/>
    <w:rsid w:val="11A4284E"/>
    <w:rsid w:val="11B35AC0"/>
    <w:rsid w:val="11D62156"/>
    <w:rsid w:val="11DD0AA4"/>
    <w:rsid w:val="11E254E5"/>
    <w:rsid w:val="12353631"/>
    <w:rsid w:val="12670A55"/>
    <w:rsid w:val="128123D2"/>
    <w:rsid w:val="128F15C7"/>
    <w:rsid w:val="12DD1CFF"/>
    <w:rsid w:val="133833D9"/>
    <w:rsid w:val="13426006"/>
    <w:rsid w:val="134B3464"/>
    <w:rsid w:val="13785584"/>
    <w:rsid w:val="13984C98"/>
    <w:rsid w:val="13A35888"/>
    <w:rsid w:val="13B058DB"/>
    <w:rsid w:val="13B67CE9"/>
    <w:rsid w:val="13BA3C51"/>
    <w:rsid w:val="13CC1D73"/>
    <w:rsid w:val="13D11138"/>
    <w:rsid w:val="13E946D3"/>
    <w:rsid w:val="13EB41FA"/>
    <w:rsid w:val="13F16624"/>
    <w:rsid w:val="142C3163"/>
    <w:rsid w:val="144B7B7C"/>
    <w:rsid w:val="147C7AB5"/>
    <w:rsid w:val="148B12E6"/>
    <w:rsid w:val="14905297"/>
    <w:rsid w:val="14CD32B0"/>
    <w:rsid w:val="14FC0152"/>
    <w:rsid w:val="150C3448"/>
    <w:rsid w:val="151A07EF"/>
    <w:rsid w:val="155107D2"/>
    <w:rsid w:val="156153D6"/>
    <w:rsid w:val="159427E9"/>
    <w:rsid w:val="15AE662B"/>
    <w:rsid w:val="15C63491"/>
    <w:rsid w:val="15DF46B4"/>
    <w:rsid w:val="1603671A"/>
    <w:rsid w:val="160C1A7E"/>
    <w:rsid w:val="161552E4"/>
    <w:rsid w:val="162C7CB7"/>
    <w:rsid w:val="162E0AC3"/>
    <w:rsid w:val="16314110"/>
    <w:rsid w:val="163A01E7"/>
    <w:rsid w:val="164E081E"/>
    <w:rsid w:val="16563FA0"/>
    <w:rsid w:val="165C1D0A"/>
    <w:rsid w:val="16655BAE"/>
    <w:rsid w:val="16721071"/>
    <w:rsid w:val="16846935"/>
    <w:rsid w:val="16846F88"/>
    <w:rsid w:val="16914FDA"/>
    <w:rsid w:val="1691555F"/>
    <w:rsid w:val="16922F25"/>
    <w:rsid w:val="16AE14E3"/>
    <w:rsid w:val="16BF6E9E"/>
    <w:rsid w:val="16E617C1"/>
    <w:rsid w:val="16EA49EA"/>
    <w:rsid w:val="16FC2B14"/>
    <w:rsid w:val="16FE0496"/>
    <w:rsid w:val="171E604A"/>
    <w:rsid w:val="174B010D"/>
    <w:rsid w:val="17526BF7"/>
    <w:rsid w:val="176302F9"/>
    <w:rsid w:val="176A1687"/>
    <w:rsid w:val="176A44A8"/>
    <w:rsid w:val="177960E1"/>
    <w:rsid w:val="178040E7"/>
    <w:rsid w:val="17C141B4"/>
    <w:rsid w:val="17E16D7D"/>
    <w:rsid w:val="17F43647"/>
    <w:rsid w:val="17FB2C27"/>
    <w:rsid w:val="17FE0021"/>
    <w:rsid w:val="181D4FF9"/>
    <w:rsid w:val="18286288"/>
    <w:rsid w:val="182A0E16"/>
    <w:rsid w:val="183832A0"/>
    <w:rsid w:val="183A54FD"/>
    <w:rsid w:val="185F6D12"/>
    <w:rsid w:val="186B1E41"/>
    <w:rsid w:val="18870A45"/>
    <w:rsid w:val="18884AFD"/>
    <w:rsid w:val="188C301B"/>
    <w:rsid w:val="1890489B"/>
    <w:rsid w:val="1896721E"/>
    <w:rsid w:val="18992975"/>
    <w:rsid w:val="18A8690B"/>
    <w:rsid w:val="18CE4216"/>
    <w:rsid w:val="18D05E62"/>
    <w:rsid w:val="18DA283C"/>
    <w:rsid w:val="18E01A75"/>
    <w:rsid w:val="18E50D4E"/>
    <w:rsid w:val="1918096B"/>
    <w:rsid w:val="192A37C4"/>
    <w:rsid w:val="193642C2"/>
    <w:rsid w:val="193F02EF"/>
    <w:rsid w:val="19560718"/>
    <w:rsid w:val="19595E57"/>
    <w:rsid w:val="195A572B"/>
    <w:rsid w:val="196A1E12"/>
    <w:rsid w:val="19836A30"/>
    <w:rsid w:val="198E16B0"/>
    <w:rsid w:val="19A97836"/>
    <w:rsid w:val="19BA2918"/>
    <w:rsid w:val="19D07C52"/>
    <w:rsid w:val="19FB6F0E"/>
    <w:rsid w:val="1A354730"/>
    <w:rsid w:val="1A3D3CA6"/>
    <w:rsid w:val="1A524D25"/>
    <w:rsid w:val="1A5F2FF9"/>
    <w:rsid w:val="1A7B177B"/>
    <w:rsid w:val="1A864A2A"/>
    <w:rsid w:val="1AD10DB0"/>
    <w:rsid w:val="1ADD31AF"/>
    <w:rsid w:val="1AE7384A"/>
    <w:rsid w:val="1B2B7CFB"/>
    <w:rsid w:val="1B4D19EC"/>
    <w:rsid w:val="1B5508A0"/>
    <w:rsid w:val="1BB92BDD"/>
    <w:rsid w:val="1BCD6BF3"/>
    <w:rsid w:val="1BE40812"/>
    <w:rsid w:val="1BEE7431"/>
    <w:rsid w:val="1BFD6F3E"/>
    <w:rsid w:val="1C035422"/>
    <w:rsid w:val="1C085913"/>
    <w:rsid w:val="1C136791"/>
    <w:rsid w:val="1C5F6D39"/>
    <w:rsid w:val="1C6E5E58"/>
    <w:rsid w:val="1C7F3FA0"/>
    <w:rsid w:val="1C7F7983"/>
    <w:rsid w:val="1C95176D"/>
    <w:rsid w:val="1CA26C7D"/>
    <w:rsid w:val="1CA4265D"/>
    <w:rsid w:val="1CA94A00"/>
    <w:rsid w:val="1CB02FB2"/>
    <w:rsid w:val="1CE22B37"/>
    <w:rsid w:val="1CE65C54"/>
    <w:rsid w:val="1CF10D17"/>
    <w:rsid w:val="1CF2763D"/>
    <w:rsid w:val="1D063C00"/>
    <w:rsid w:val="1D133D0D"/>
    <w:rsid w:val="1D1C1676"/>
    <w:rsid w:val="1D2247B2"/>
    <w:rsid w:val="1D314596"/>
    <w:rsid w:val="1D3E358A"/>
    <w:rsid w:val="1D62071D"/>
    <w:rsid w:val="1D7F0A6F"/>
    <w:rsid w:val="1DD47207"/>
    <w:rsid w:val="1DE07807"/>
    <w:rsid w:val="1DE93C4A"/>
    <w:rsid w:val="1DED3012"/>
    <w:rsid w:val="1E171E3D"/>
    <w:rsid w:val="1E3E5127"/>
    <w:rsid w:val="1E686C52"/>
    <w:rsid w:val="1E7E31A7"/>
    <w:rsid w:val="1E84307A"/>
    <w:rsid w:val="1EAE27A1"/>
    <w:rsid w:val="1EB10230"/>
    <w:rsid w:val="1EEA2AA6"/>
    <w:rsid w:val="1F1D6C5D"/>
    <w:rsid w:val="1F270113"/>
    <w:rsid w:val="1F5C2935"/>
    <w:rsid w:val="1F6D7452"/>
    <w:rsid w:val="1F843502"/>
    <w:rsid w:val="1F8A1EBA"/>
    <w:rsid w:val="1FAB0A8F"/>
    <w:rsid w:val="1FD55B0C"/>
    <w:rsid w:val="1FE65F6B"/>
    <w:rsid w:val="20041933"/>
    <w:rsid w:val="20407429"/>
    <w:rsid w:val="20442D78"/>
    <w:rsid w:val="2054498F"/>
    <w:rsid w:val="205D76D7"/>
    <w:rsid w:val="205E7C14"/>
    <w:rsid w:val="206B7676"/>
    <w:rsid w:val="20723534"/>
    <w:rsid w:val="20783067"/>
    <w:rsid w:val="20941209"/>
    <w:rsid w:val="20C04A0E"/>
    <w:rsid w:val="20CA343F"/>
    <w:rsid w:val="20CF13CE"/>
    <w:rsid w:val="20FD17BE"/>
    <w:rsid w:val="211B4D0E"/>
    <w:rsid w:val="212503C6"/>
    <w:rsid w:val="212E395B"/>
    <w:rsid w:val="21352D06"/>
    <w:rsid w:val="21374CD0"/>
    <w:rsid w:val="21725D08"/>
    <w:rsid w:val="2184024E"/>
    <w:rsid w:val="21891194"/>
    <w:rsid w:val="218C47D6"/>
    <w:rsid w:val="218D2216"/>
    <w:rsid w:val="219043E0"/>
    <w:rsid w:val="21AD4F92"/>
    <w:rsid w:val="21D84031"/>
    <w:rsid w:val="22286D9D"/>
    <w:rsid w:val="224B4448"/>
    <w:rsid w:val="224F429B"/>
    <w:rsid w:val="226F28A8"/>
    <w:rsid w:val="226F3991"/>
    <w:rsid w:val="22946ABB"/>
    <w:rsid w:val="22947E25"/>
    <w:rsid w:val="22993439"/>
    <w:rsid w:val="22A7378F"/>
    <w:rsid w:val="22B06380"/>
    <w:rsid w:val="22B64247"/>
    <w:rsid w:val="22C37E78"/>
    <w:rsid w:val="22CA6707"/>
    <w:rsid w:val="22EF080D"/>
    <w:rsid w:val="2305495A"/>
    <w:rsid w:val="23333CC5"/>
    <w:rsid w:val="23460B1A"/>
    <w:rsid w:val="234A3E96"/>
    <w:rsid w:val="234C3794"/>
    <w:rsid w:val="235D6544"/>
    <w:rsid w:val="23711FEF"/>
    <w:rsid w:val="237D28DE"/>
    <w:rsid w:val="238973C9"/>
    <w:rsid w:val="238A6552"/>
    <w:rsid w:val="23A567BE"/>
    <w:rsid w:val="23FA1E4F"/>
    <w:rsid w:val="240F5A90"/>
    <w:rsid w:val="24111636"/>
    <w:rsid w:val="241F4901"/>
    <w:rsid w:val="24427F9A"/>
    <w:rsid w:val="2446347C"/>
    <w:rsid w:val="244D0366"/>
    <w:rsid w:val="244D3D5F"/>
    <w:rsid w:val="24547947"/>
    <w:rsid w:val="24705EF7"/>
    <w:rsid w:val="248923DE"/>
    <w:rsid w:val="248C70E1"/>
    <w:rsid w:val="24952167"/>
    <w:rsid w:val="249B70A6"/>
    <w:rsid w:val="24C70994"/>
    <w:rsid w:val="24DD5D36"/>
    <w:rsid w:val="250F356E"/>
    <w:rsid w:val="25617B64"/>
    <w:rsid w:val="2584425C"/>
    <w:rsid w:val="25932D26"/>
    <w:rsid w:val="25981AB5"/>
    <w:rsid w:val="25A16BBC"/>
    <w:rsid w:val="25AA6B5E"/>
    <w:rsid w:val="25B12B77"/>
    <w:rsid w:val="25C94365"/>
    <w:rsid w:val="25E23130"/>
    <w:rsid w:val="25E2548D"/>
    <w:rsid w:val="260C580D"/>
    <w:rsid w:val="262F2255"/>
    <w:rsid w:val="266A3452"/>
    <w:rsid w:val="266B476D"/>
    <w:rsid w:val="26722306"/>
    <w:rsid w:val="269404CF"/>
    <w:rsid w:val="26BA6A50"/>
    <w:rsid w:val="26BE72FA"/>
    <w:rsid w:val="26C4386A"/>
    <w:rsid w:val="26D340FF"/>
    <w:rsid w:val="26ED1EEB"/>
    <w:rsid w:val="270404A9"/>
    <w:rsid w:val="271E2678"/>
    <w:rsid w:val="27396DF8"/>
    <w:rsid w:val="273E5401"/>
    <w:rsid w:val="274F0899"/>
    <w:rsid w:val="27515DB5"/>
    <w:rsid w:val="2764239A"/>
    <w:rsid w:val="276A59DB"/>
    <w:rsid w:val="27894255"/>
    <w:rsid w:val="27920F22"/>
    <w:rsid w:val="27D01EF5"/>
    <w:rsid w:val="27FA25B3"/>
    <w:rsid w:val="27FD02F5"/>
    <w:rsid w:val="28757E8C"/>
    <w:rsid w:val="28880EC2"/>
    <w:rsid w:val="289C366A"/>
    <w:rsid w:val="28B2052F"/>
    <w:rsid w:val="28B46AB7"/>
    <w:rsid w:val="28C62969"/>
    <w:rsid w:val="28E31299"/>
    <w:rsid w:val="28E41A57"/>
    <w:rsid w:val="290912F0"/>
    <w:rsid w:val="292673D8"/>
    <w:rsid w:val="292D3E5E"/>
    <w:rsid w:val="296D63B4"/>
    <w:rsid w:val="29836AFC"/>
    <w:rsid w:val="29A41592"/>
    <w:rsid w:val="29B236A7"/>
    <w:rsid w:val="29B42F5B"/>
    <w:rsid w:val="29DB6414"/>
    <w:rsid w:val="29F37C02"/>
    <w:rsid w:val="2A1F27A5"/>
    <w:rsid w:val="2A4E5C47"/>
    <w:rsid w:val="2A4F6594"/>
    <w:rsid w:val="2A9C2048"/>
    <w:rsid w:val="2AA66A22"/>
    <w:rsid w:val="2AB84257"/>
    <w:rsid w:val="2ACA729C"/>
    <w:rsid w:val="2ACC5FDE"/>
    <w:rsid w:val="2AD75DD5"/>
    <w:rsid w:val="2AFA28CA"/>
    <w:rsid w:val="2B14272F"/>
    <w:rsid w:val="2B3D7387"/>
    <w:rsid w:val="2B795EE5"/>
    <w:rsid w:val="2B8D408C"/>
    <w:rsid w:val="2BA72A52"/>
    <w:rsid w:val="2BA94A1C"/>
    <w:rsid w:val="2BD4455F"/>
    <w:rsid w:val="2C153E60"/>
    <w:rsid w:val="2C1C716A"/>
    <w:rsid w:val="2C5E2824"/>
    <w:rsid w:val="2C620D1D"/>
    <w:rsid w:val="2C7A0167"/>
    <w:rsid w:val="2C826E81"/>
    <w:rsid w:val="2C837377"/>
    <w:rsid w:val="2C956603"/>
    <w:rsid w:val="2C9D5FA2"/>
    <w:rsid w:val="2CA71199"/>
    <w:rsid w:val="2CBA67B5"/>
    <w:rsid w:val="2CDF0814"/>
    <w:rsid w:val="2D075D52"/>
    <w:rsid w:val="2D0E3B17"/>
    <w:rsid w:val="2D2F2CFF"/>
    <w:rsid w:val="2D3E2F42"/>
    <w:rsid w:val="2D4C1B03"/>
    <w:rsid w:val="2D597D7C"/>
    <w:rsid w:val="2D703A72"/>
    <w:rsid w:val="2D784137"/>
    <w:rsid w:val="2D7D765A"/>
    <w:rsid w:val="2DC856AB"/>
    <w:rsid w:val="2DD864BA"/>
    <w:rsid w:val="2DE9141C"/>
    <w:rsid w:val="2DFC4367"/>
    <w:rsid w:val="2E224612"/>
    <w:rsid w:val="2E2C5A4B"/>
    <w:rsid w:val="2E2C723F"/>
    <w:rsid w:val="2E3D2FD6"/>
    <w:rsid w:val="2E461CA3"/>
    <w:rsid w:val="2E640C74"/>
    <w:rsid w:val="2E7734DD"/>
    <w:rsid w:val="2E860C4F"/>
    <w:rsid w:val="2EA94D33"/>
    <w:rsid w:val="2EAB5588"/>
    <w:rsid w:val="2EB55486"/>
    <w:rsid w:val="2ECF0929"/>
    <w:rsid w:val="2EE15740"/>
    <w:rsid w:val="2F234AE5"/>
    <w:rsid w:val="2F463202"/>
    <w:rsid w:val="2F4F0640"/>
    <w:rsid w:val="2F5D2975"/>
    <w:rsid w:val="2F8512FC"/>
    <w:rsid w:val="2FA33530"/>
    <w:rsid w:val="2FBF19BE"/>
    <w:rsid w:val="2FC236BE"/>
    <w:rsid w:val="2FC75471"/>
    <w:rsid w:val="2FC8743B"/>
    <w:rsid w:val="2FD6323E"/>
    <w:rsid w:val="2FDA33F3"/>
    <w:rsid w:val="2FFC7530"/>
    <w:rsid w:val="300448F0"/>
    <w:rsid w:val="304312C5"/>
    <w:rsid w:val="30434C8B"/>
    <w:rsid w:val="30550F83"/>
    <w:rsid w:val="305C33AD"/>
    <w:rsid w:val="307153DD"/>
    <w:rsid w:val="3092116F"/>
    <w:rsid w:val="30A43F09"/>
    <w:rsid w:val="30B02B3C"/>
    <w:rsid w:val="30C754D6"/>
    <w:rsid w:val="30E64311"/>
    <w:rsid w:val="310E0ECF"/>
    <w:rsid w:val="31180ED9"/>
    <w:rsid w:val="311C359A"/>
    <w:rsid w:val="311F42CB"/>
    <w:rsid w:val="31363F44"/>
    <w:rsid w:val="31633AA7"/>
    <w:rsid w:val="31795DDF"/>
    <w:rsid w:val="318555E4"/>
    <w:rsid w:val="31A31F0E"/>
    <w:rsid w:val="31B16024"/>
    <w:rsid w:val="31B93075"/>
    <w:rsid w:val="31BE0184"/>
    <w:rsid w:val="31E97269"/>
    <w:rsid w:val="321F01B9"/>
    <w:rsid w:val="3250281F"/>
    <w:rsid w:val="327B461D"/>
    <w:rsid w:val="32B9023B"/>
    <w:rsid w:val="32D007AA"/>
    <w:rsid w:val="32D564A7"/>
    <w:rsid w:val="32ED71B1"/>
    <w:rsid w:val="331060AD"/>
    <w:rsid w:val="332B639D"/>
    <w:rsid w:val="33727DEA"/>
    <w:rsid w:val="33997124"/>
    <w:rsid w:val="33B76883"/>
    <w:rsid w:val="33C53E43"/>
    <w:rsid w:val="33CF6841"/>
    <w:rsid w:val="33D64760"/>
    <w:rsid w:val="33FB6E55"/>
    <w:rsid w:val="340663CB"/>
    <w:rsid w:val="34086058"/>
    <w:rsid w:val="34605E94"/>
    <w:rsid w:val="347E456C"/>
    <w:rsid w:val="34BB30CA"/>
    <w:rsid w:val="34DE0569"/>
    <w:rsid w:val="3546508A"/>
    <w:rsid w:val="35574615"/>
    <w:rsid w:val="3564627D"/>
    <w:rsid w:val="356F51E2"/>
    <w:rsid w:val="35954D78"/>
    <w:rsid w:val="359615BD"/>
    <w:rsid w:val="35C77C5C"/>
    <w:rsid w:val="36203EAE"/>
    <w:rsid w:val="364D41F6"/>
    <w:rsid w:val="36624145"/>
    <w:rsid w:val="3671588C"/>
    <w:rsid w:val="36A911CE"/>
    <w:rsid w:val="36AC53C0"/>
    <w:rsid w:val="36B30BDF"/>
    <w:rsid w:val="36D05553"/>
    <w:rsid w:val="36D8686E"/>
    <w:rsid w:val="36E9352C"/>
    <w:rsid w:val="371574FD"/>
    <w:rsid w:val="371B60A2"/>
    <w:rsid w:val="373B6744"/>
    <w:rsid w:val="37664CFF"/>
    <w:rsid w:val="37695ABA"/>
    <w:rsid w:val="37824373"/>
    <w:rsid w:val="379F1FEC"/>
    <w:rsid w:val="37A02291"/>
    <w:rsid w:val="37C5786B"/>
    <w:rsid w:val="37FE7E9E"/>
    <w:rsid w:val="3811488C"/>
    <w:rsid w:val="38593E3A"/>
    <w:rsid w:val="38637D01"/>
    <w:rsid w:val="38642E88"/>
    <w:rsid w:val="38697929"/>
    <w:rsid w:val="38837FBB"/>
    <w:rsid w:val="38C912F2"/>
    <w:rsid w:val="38F10EAC"/>
    <w:rsid w:val="390D6A5E"/>
    <w:rsid w:val="391261F4"/>
    <w:rsid w:val="391B4A7F"/>
    <w:rsid w:val="39253208"/>
    <w:rsid w:val="393E7AB5"/>
    <w:rsid w:val="394513F2"/>
    <w:rsid w:val="39470146"/>
    <w:rsid w:val="395C05DA"/>
    <w:rsid w:val="396C7089"/>
    <w:rsid w:val="396D6ECE"/>
    <w:rsid w:val="3978732C"/>
    <w:rsid w:val="397D5127"/>
    <w:rsid w:val="39842625"/>
    <w:rsid w:val="398848EF"/>
    <w:rsid w:val="399A1E48"/>
    <w:rsid w:val="399F120C"/>
    <w:rsid w:val="3A1219DE"/>
    <w:rsid w:val="3A1B567C"/>
    <w:rsid w:val="3A230C04"/>
    <w:rsid w:val="3A2709D5"/>
    <w:rsid w:val="3A381F11"/>
    <w:rsid w:val="3A3F31D4"/>
    <w:rsid w:val="3A3F71F7"/>
    <w:rsid w:val="3A463578"/>
    <w:rsid w:val="3A563FC1"/>
    <w:rsid w:val="3A5A58D8"/>
    <w:rsid w:val="3A712BA9"/>
    <w:rsid w:val="3A886B6C"/>
    <w:rsid w:val="3A933A77"/>
    <w:rsid w:val="3A9407AC"/>
    <w:rsid w:val="3A9C44D1"/>
    <w:rsid w:val="3AAC523F"/>
    <w:rsid w:val="3AB31F15"/>
    <w:rsid w:val="3ABC194A"/>
    <w:rsid w:val="3AC26C8B"/>
    <w:rsid w:val="3ACF536D"/>
    <w:rsid w:val="3AF70BD4"/>
    <w:rsid w:val="3AFA732B"/>
    <w:rsid w:val="3AFE4FAF"/>
    <w:rsid w:val="3B027CA5"/>
    <w:rsid w:val="3B0A0908"/>
    <w:rsid w:val="3B143534"/>
    <w:rsid w:val="3B2957FD"/>
    <w:rsid w:val="3B2E554E"/>
    <w:rsid w:val="3B4A06E5"/>
    <w:rsid w:val="3B634476"/>
    <w:rsid w:val="3B68689B"/>
    <w:rsid w:val="3B6C511E"/>
    <w:rsid w:val="3BA252F5"/>
    <w:rsid w:val="3BAC736A"/>
    <w:rsid w:val="3BAD3348"/>
    <w:rsid w:val="3BC35686"/>
    <w:rsid w:val="3BC62A80"/>
    <w:rsid w:val="3BC76554"/>
    <w:rsid w:val="3BF80022"/>
    <w:rsid w:val="3C00306A"/>
    <w:rsid w:val="3C1E6B16"/>
    <w:rsid w:val="3C2B0983"/>
    <w:rsid w:val="3C300D08"/>
    <w:rsid w:val="3C437775"/>
    <w:rsid w:val="3C6127A9"/>
    <w:rsid w:val="3C813D2A"/>
    <w:rsid w:val="3CA60B04"/>
    <w:rsid w:val="3CD629C8"/>
    <w:rsid w:val="3CE82ECA"/>
    <w:rsid w:val="3CEA2C84"/>
    <w:rsid w:val="3CF51AF2"/>
    <w:rsid w:val="3D0A0E9A"/>
    <w:rsid w:val="3D125759"/>
    <w:rsid w:val="3D4C16AB"/>
    <w:rsid w:val="3D6F17D9"/>
    <w:rsid w:val="3D74650C"/>
    <w:rsid w:val="3D8441F8"/>
    <w:rsid w:val="3D8F15CC"/>
    <w:rsid w:val="3DB8307D"/>
    <w:rsid w:val="3DD05E38"/>
    <w:rsid w:val="3E295905"/>
    <w:rsid w:val="3E41662A"/>
    <w:rsid w:val="3E6A71CE"/>
    <w:rsid w:val="3E6D1A7C"/>
    <w:rsid w:val="3E777074"/>
    <w:rsid w:val="3E9843C7"/>
    <w:rsid w:val="3E9F0FD0"/>
    <w:rsid w:val="3EB06818"/>
    <w:rsid w:val="3ECE32F4"/>
    <w:rsid w:val="3ED31501"/>
    <w:rsid w:val="3EE00F54"/>
    <w:rsid w:val="3EF74468"/>
    <w:rsid w:val="3EFB390E"/>
    <w:rsid w:val="3F0C10F2"/>
    <w:rsid w:val="3F3A738A"/>
    <w:rsid w:val="3F3C55DC"/>
    <w:rsid w:val="3F40574E"/>
    <w:rsid w:val="3F8B6593"/>
    <w:rsid w:val="3FA30576"/>
    <w:rsid w:val="3FA60462"/>
    <w:rsid w:val="3FA622E4"/>
    <w:rsid w:val="3FB84DD6"/>
    <w:rsid w:val="3FCF485A"/>
    <w:rsid w:val="3FFE468A"/>
    <w:rsid w:val="401144E6"/>
    <w:rsid w:val="4013032A"/>
    <w:rsid w:val="40324B88"/>
    <w:rsid w:val="4038348D"/>
    <w:rsid w:val="403852FD"/>
    <w:rsid w:val="403C2D10"/>
    <w:rsid w:val="405D3199"/>
    <w:rsid w:val="40694AD5"/>
    <w:rsid w:val="40E102B2"/>
    <w:rsid w:val="40E27A57"/>
    <w:rsid w:val="40F0234E"/>
    <w:rsid w:val="40FC6E5B"/>
    <w:rsid w:val="410F0A26"/>
    <w:rsid w:val="411878EB"/>
    <w:rsid w:val="41377F7D"/>
    <w:rsid w:val="41423FDB"/>
    <w:rsid w:val="414E29EF"/>
    <w:rsid w:val="41601698"/>
    <w:rsid w:val="41945FEF"/>
    <w:rsid w:val="41B35408"/>
    <w:rsid w:val="41F5553B"/>
    <w:rsid w:val="41F83BB0"/>
    <w:rsid w:val="42153E64"/>
    <w:rsid w:val="42186000"/>
    <w:rsid w:val="42221758"/>
    <w:rsid w:val="422B7713"/>
    <w:rsid w:val="423F264A"/>
    <w:rsid w:val="424D62B1"/>
    <w:rsid w:val="425A4F73"/>
    <w:rsid w:val="42F821AC"/>
    <w:rsid w:val="430345BA"/>
    <w:rsid w:val="430640AA"/>
    <w:rsid w:val="433337B2"/>
    <w:rsid w:val="435F0312"/>
    <w:rsid w:val="43624E21"/>
    <w:rsid w:val="438D759F"/>
    <w:rsid w:val="43A318F9"/>
    <w:rsid w:val="43AF0AA0"/>
    <w:rsid w:val="43E65EF3"/>
    <w:rsid w:val="43E73EDC"/>
    <w:rsid w:val="43FE43EF"/>
    <w:rsid w:val="441D29BE"/>
    <w:rsid w:val="442A5B77"/>
    <w:rsid w:val="443D4BF6"/>
    <w:rsid w:val="446A6DCD"/>
    <w:rsid w:val="446D3B05"/>
    <w:rsid w:val="44743CCA"/>
    <w:rsid w:val="4479123F"/>
    <w:rsid w:val="447A6AFE"/>
    <w:rsid w:val="44850357"/>
    <w:rsid w:val="44AD472E"/>
    <w:rsid w:val="44BB12BF"/>
    <w:rsid w:val="44C47D79"/>
    <w:rsid w:val="44FF352C"/>
    <w:rsid w:val="45023AF1"/>
    <w:rsid w:val="45026373"/>
    <w:rsid w:val="450428EE"/>
    <w:rsid w:val="45124F88"/>
    <w:rsid w:val="45411CD5"/>
    <w:rsid w:val="45731ECA"/>
    <w:rsid w:val="457A48DC"/>
    <w:rsid w:val="45E673E7"/>
    <w:rsid w:val="45E939F6"/>
    <w:rsid w:val="4617230E"/>
    <w:rsid w:val="461C0398"/>
    <w:rsid w:val="46242564"/>
    <w:rsid w:val="464C1D11"/>
    <w:rsid w:val="465C2A22"/>
    <w:rsid w:val="46907C1A"/>
    <w:rsid w:val="46C74B20"/>
    <w:rsid w:val="46DC75FC"/>
    <w:rsid w:val="46DF74B8"/>
    <w:rsid w:val="46EF4D27"/>
    <w:rsid w:val="46F970D3"/>
    <w:rsid w:val="47070279"/>
    <w:rsid w:val="471C1062"/>
    <w:rsid w:val="472F3AEB"/>
    <w:rsid w:val="47494AE5"/>
    <w:rsid w:val="47AE0EB9"/>
    <w:rsid w:val="47AF7CD9"/>
    <w:rsid w:val="47F91D4B"/>
    <w:rsid w:val="481E0BD6"/>
    <w:rsid w:val="483D0A70"/>
    <w:rsid w:val="488C32A4"/>
    <w:rsid w:val="48CC544E"/>
    <w:rsid w:val="48E5334A"/>
    <w:rsid w:val="490C7F41"/>
    <w:rsid w:val="4923315B"/>
    <w:rsid w:val="493765B0"/>
    <w:rsid w:val="494B7845"/>
    <w:rsid w:val="49766E17"/>
    <w:rsid w:val="49D62A28"/>
    <w:rsid w:val="49E61E57"/>
    <w:rsid w:val="49F11610"/>
    <w:rsid w:val="49F70A65"/>
    <w:rsid w:val="4A015615"/>
    <w:rsid w:val="4A105260"/>
    <w:rsid w:val="4A1F23BD"/>
    <w:rsid w:val="4A2D2262"/>
    <w:rsid w:val="4A532E7E"/>
    <w:rsid w:val="4A637791"/>
    <w:rsid w:val="4AA15B5C"/>
    <w:rsid w:val="4AE64EED"/>
    <w:rsid w:val="4B315D3B"/>
    <w:rsid w:val="4B335C59"/>
    <w:rsid w:val="4B3425E6"/>
    <w:rsid w:val="4B7363B7"/>
    <w:rsid w:val="4B8D4055"/>
    <w:rsid w:val="4B8D5369"/>
    <w:rsid w:val="4BA6002F"/>
    <w:rsid w:val="4BBC17AA"/>
    <w:rsid w:val="4C4265E1"/>
    <w:rsid w:val="4C6747E6"/>
    <w:rsid w:val="4CB472F1"/>
    <w:rsid w:val="4CB923AA"/>
    <w:rsid w:val="4CC2732C"/>
    <w:rsid w:val="4CD47F1E"/>
    <w:rsid w:val="4CF9607C"/>
    <w:rsid w:val="4CFD1DDD"/>
    <w:rsid w:val="4D104178"/>
    <w:rsid w:val="4D5E7323"/>
    <w:rsid w:val="4D69563F"/>
    <w:rsid w:val="4D7B170B"/>
    <w:rsid w:val="4D814A59"/>
    <w:rsid w:val="4D93478D"/>
    <w:rsid w:val="4DAE61A5"/>
    <w:rsid w:val="4DB8487B"/>
    <w:rsid w:val="4DC35387"/>
    <w:rsid w:val="4DDF139A"/>
    <w:rsid w:val="4E2F2707"/>
    <w:rsid w:val="4E326F66"/>
    <w:rsid w:val="4E3403B6"/>
    <w:rsid w:val="4E5E4D9B"/>
    <w:rsid w:val="4E774334"/>
    <w:rsid w:val="4F0B065C"/>
    <w:rsid w:val="4F253B0A"/>
    <w:rsid w:val="4F343F0D"/>
    <w:rsid w:val="4F355850"/>
    <w:rsid w:val="4F4619B1"/>
    <w:rsid w:val="4F575F9B"/>
    <w:rsid w:val="4F7A3F35"/>
    <w:rsid w:val="4F8314D1"/>
    <w:rsid w:val="4F97660D"/>
    <w:rsid w:val="4FA931B8"/>
    <w:rsid w:val="4FA964E9"/>
    <w:rsid w:val="4FB044A0"/>
    <w:rsid w:val="4FB26781"/>
    <w:rsid w:val="4FF11CCD"/>
    <w:rsid w:val="4FF5172F"/>
    <w:rsid w:val="50771950"/>
    <w:rsid w:val="507B64D9"/>
    <w:rsid w:val="5080549C"/>
    <w:rsid w:val="50854D82"/>
    <w:rsid w:val="508D531D"/>
    <w:rsid w:val="509136ED"/>
    <w:rsid w:val="50B15048"/>
    <w:rsid w:val="50C64757"/>
    <w:rsid w:val="51025EB1"/>
    <w:rsid w:val="5105076C"/>
    <w:rsid w:val="51292CE0"/>
    <w:rsid w:val="51437388"/>
    <w:rsid w:val="51595574"/>
    <w:rsid w:val="517F39A6"/>
    <w:rsid w:val="518B5CE1"/>
    <w:rsid w:val="519531C9"/>
    <w:rsid w:val="51A44BDB"/>
    <w:rsid w:val="51B12FEF"/>
    <w:rsid w:val="51EF7C55"/>
    <w:rsid w:val="51FD4377"/>
    <w:rsid w:val="523E1027"/>
    <w:rsid w:val="52487353"/>
    <w:rsid w:val="52645BD4"/>
    <w:rsid w:val="527F1783"/>
    <w:rsid w:val="529D3C8A"/>
    <w:rsid w:val="52E2243E"/>
    <w:rsid w:val="5317053D"/>
    <w:rsid w:val="53174FB8"/>
    <w:rsid w:val="53312A7E"/>
    <w:rsid w:val="5341532F"/>
    <w:rsid w:val="53744F6B"/>
    <w:rsid w:val="537B7C60"/>
    <w:rsid w:val="538034A8"/>
    <w:rsid w:val="538C7248"/>
    <w:rsid w:val="53982ED2"/>
    <w:rsid w:val="53AA2830"/>
    <w:rsid w:val="53B65679"/>
    <w:rsid w:val="53BE6D47"/>
    <w:rsid w:val="53C17B7A"/>
    <w:rsid w:val="53EE096F"/>
    <w:rsid w:val="54434FD7"/>
    <w:rsid w:val="545713A5"/>
    <w:rsid w:val="54935761"/>
    <w:rsid w:val="549C486F"/>
    <w:rsid w:val="54B07F8D"/>
    <w:rsid w:val="54C379A2"/>
    <w:rsid w:val="54C91B2C"/>
    <w:rsid w:val="54FF4497"/>
    <w:rsid w:val="550058CC"/>
    <w:rsid w:val="55014EC1"/>
    <w:rsid w:val="55043FA3"/>
    <w:rsid w:val="55283672"/>
    <w:rsid w:val="552D0C96"/>
    <w:rsid w:val="555B47FD"/>
    <w:rsid w:val="55A46EBE"/>
    <w:rsid w:val="55A66DA3"/>
    <w:rsid w:val="55BC7652"/>
    <w:rsid w:val="55E25943"/>
    <w:rsid w:val="55F777AB"/>
    <w:rsid w:val="560B75A7"/>
    <w:rsid w:val="561D0396"/>
    <w:rsid w:val="562E599A"/>
    <w:rsid w:val="565F3E59"/>
    <w:rsid w:val="56847368"/>
    <w:rsid w:val="56A956BD"/>
    <w:rsid w:val="56DF5678"/>
    <w:rsid w:val="57346FE0"/>
    <w:rsid w:val="5759741F"/>
    <w:rsid w:val="57622102"/>
    <w:rsid w:val="577365E1"/>
    <w:rsid w:val="577F19C0"/>
    <w:rsid w:val="57802226"/>
    <w:rsid w:val="57A00096"/>
    <w:rsid w:val="57CD27A6"/>
    <w:rsid w:val="57E26A3C"/>
    <w:rsid w:val="57F25F4F"/>
    <w:rsid w:val="58030761"/>
    <w:rsid w:val="580A7D41"/>
    <w:rsid w:val="58585ED3"/>
    <w:rsid w:val="586048F0"/>
    <w:rsid w:val="586E6E66"/>
    <w:rsid w:val="58742912"/>
    <w:rsid w:val="58855217"/>
    <w:rsid w:val="588F6FE2"/>
    <w:rsid w:val="58B46018"/>
    <w:rsid w:val="58D1558C"/>
    <w:rsid w:val="59052AF7"/>
    <w:rsid w:val="592546AD"/>
    <w:rsid w:val="592B02D1"/>
    <w:rsid w:val="595B6AA6"/>
    <w:rsid w:val="59715A31"/>
    <w:rsid w:val="59943D66"/>
    <w:rsid w:val="59AC68EF"/>
    <w:rsid w:val="59C95481"/>
    <w:rsid w:val="59E24F81"/>
    <w:rsid w:val="59E808B2"/>
    <w:rsid w:val="59EA607C"/>
    <w:rsid w:val="59EF2CE1"/>
    <w:rsid w:val="5A19426B"/>
    <w:rsid w:val="5A3D43FE"/>
    <w:rsid w:val="5A544481"/>
    <w:rsid w:val="5A56726E"/>
    <w:rsid w:val="5A766AF8"/>
    <w:rsid w:val="5A7A355A"/>
    <w:rsid w:val="5A7F76B0"/>
    <w:rsid w:val="5AB035F8"/>
    <w:rsid w:val="5AB04DBA"/>
    <w:rsid w:val="5ABD109B"/>
    <w:rsid w:val="5B21778B"/>
    <w:rsid w:val="5B2575EE"/>
    <w:rsid w:val="5B3E455E"/>
    <w:rsid w:val="5B557042"/>
    <w:rsid w:val="5B7B1EF5"/>
    <w:rsid w:val="5B81031A"/>
    <w:rsid w:val="5B8935B6"/>
    <w:rsid w:val="5B9C45BA"/>
    <w:rsid w:val="5BA063F7"/>
    <w:rsid w:val="5BCB77E7"/>
    <w:rsid w:val="5BDF06A2"/>
    <w:rsid w:val="5BE16733"/>
    <w:rsid w:val="5BE765B0"/>
    <w:rsid w:val="5C0827EA"/>
    <w:rsid w:val="5C5F68AD"/>
    <w:rsid w:val="5C606821"/>
    <w:rsid w:val="5C744009"/>
    <w:rsid w:val="5C874E3E"/>
    <w:rsid w:val="5CC3431D"/>
    <w:rsid w:val="5CCA26AB"/>
    <w:rsid w:val="5CDB3A5A"/>
    <w:rsid w:val="5CF61C23"/>
    <w:rsid w:val="5D0304F6"/>
    <w:rsid w:val="5D0D60EB"/>
    <w:rsid w:val="5D245ECB"/>
    <w:rsid w:val="5D333896"/>
    <w:rsid w:val="5D810AA5"/>
    <w:rsid w:val="5D8C06D5"/>
    <w:rsid w:val="5D932E5D"/>
    <w:rsid w:val="5DAB37DD"/>
    <w:rsid w:val="5DB83D3A"/>
    <w:rsid w:val="5DCD7847"/>
    <w:rsid w:val="5DDB6408"/>
    <w:rsid w:val="5DFC5C02"/>
    <w:rsid w:val="5E05778C"/>
    <w:rsid w:val="5E2A32E3"/>
    <w:rsid w:val="5E3C4CB1"/>
    <w:rsid w:val="5E3D4F56"/>
    <w:rsid w:val="5E8847FE"/>
    <w:rsid w:val="5EE87E8A"/>
    <w:rsid w:val="5EEB23C2"/>
    <w:rsid w:val="5EFB03E4"/>
    <w:rsid w:val="5F0642CC"/>
    <w:rsid w:val="5F2A579C"/>
    <w:rsid w:val="5F8F69B2"/>
    <w:rsid w:val="5FB30ED5"/>
    <w:rsid w:val="5FC67F47"/>
    <w:rsid w:val="5FD749AD"/>
    <w:rsid w:val="60011A2A"/>
    <w:rsid w:val="600F05EB"/>
    <w:rsid w:val="601703D2"/>
    <w:rsid w:val="6039234B"/>
    <w:rsid w:val="608A688B"/>
    <w:rsid w:val="60974C4E"/>
    <w:rsid w:val="60A30D33"/>
    <w:rsid w:val="60A800F7"/>
    <w:rsid w:val="60CB47AB"/>
    <w:rsid w:val="60DE10FB"/>
    <w:rsid w:val="60F03CB7"/>
    <w:rsid w:val="6122434D"/>
    <w:rsid w:val="61307E66"/>
    <w:rsid w:val="61354C2B"/>
    <w:rsid w:val="61483B39"/>
    <w:rsid w:val="61620C61"/>
    <w:rsid w:val="616468D3"/>
    <w:rsid w:val="61671D60"/>
    <w:rsid w:val="619169E7"/>
    <w:rsid w:val="61A10390"/>
    <w:rsid w:val="61AC2CB9"/>
    <w:rsid w:val="61CE1DDF"/>
    <w:rsid w:val="61DE5BE8"/>
    <w:rsid w:val="620C3034"/>
    <w:rsid w:val="62176272"/>
    <w:rsid w:val="623F5757"/>
    <w:rsid w:val="626863F9"/>
    <w:rsid w:val="627B5AC3"/>
    <w:rsid w:val="62AD7C47"/>
    <w:rsid w:val="62C236F2"/>
    <w:rsid w:val="62DF1FCF"/>
    <w:rsid w:val="6309608B"/>
    <w:rsid w:val="630F2BA8"/>
    <w:rsid w:val="63255A2A"/>
    <w:rsid w:val="632814BB"/>
    <w:rsid w:val="63330C6B"/>
    <w:rsid w:val="63364356"/>
    <w:rsid w:val="634B514E"/>
    <w:rsid w:val="636D0462"/>
    <w:rsid w:val="638B61DA"/>
    <w:rsid w:val="639D28AA"/>
    <w:rsid w:val="63A273B5"/>
    <w:rsid w:val="63A64DC2"/>
    <w:rsid w:val="63C96D02"/>
    <w:rsid w:val="63D8313F"/>
    <w:rsid w:val="64061F22"/>
    <w:rsid w:val="640F0BB9"/>
    <w:rsid w:val="64195594"/>
    <w:rsid w:val="641B5F97"/>
    <w:rsid w:val="6436317F"/>
    <w:rsid w:val="644545DB"/>
    <w:rsid w:val="64534F2D"/>
    <w:rsid w:val="6499582E"/>
    <w:rsid w:val="64BE438D"/>
    <w:rsid w:val="64D6708C"/>
    <w:rsid w:val="64E3758C"/>
    <w:rsid w:val="64E411DF"/>
    <w:rsid w:val="65126A77"/>
    <w:rsid w:val="651C0C25"/>
    <w:rsid w:val="651F01DC"/>
    <w:rsid w:val="653A694C"/>
    <w:rsid w:val="65433F27"/>
    <w:rsid w:val="654C6FF0"/>
    <w:rsid w:val="6554373A"/>
    <w:rsid w:val="6583773F"/>
    <w:rsid w:val="65E120E1"/>
    <w:rsid w:val="65ED38D0"/>
    <w:rsid w:val="65EE01D4"/>
    <w:rsid w:val="65FC33BF"/>
    <w:rsid w:val="661318BA"/>
    <w:rsid w:val="661B1EB0"/>
    <w:rsid w:val="662F7F46"/>
    <w:rsid w:val="66456B14"/>
    <w:rsid w:val="665E3005"/>
    <w:rsid w:val="66854BCD"/>
    <w:rsid w:val="668E21DF"/>
    <w:rsid w:val="6693607C"/>
    <w:rsid w:val="66A17AC3"/>
    <w:rsid w:val="66BD53B4"/>
    <w:rsid w:val="66C17139"/>
    <w:rsid w:val="66C571D2"/>
    <w:rsid w:val="66C73E91"/>
    <w:rsid w:val="66CD60E6"/>
    <w:rsid w:val="66DA6410"/>
    <w:rsid w:val="66EA792E"/>
    <w:rsid w:val="66EA796E"/>
    <w:rsid w:val="66F61840"/>
    <w:rsid w:val="671130D8"/>
    <w:rsid w:val="67323C4A"/>
    <w:rsid w:val="67401089"/>
    <w:rsid w:val="6774786A"/>
    <w:rsid w:val="67840550"/>
    <w:rsid w:val="67926FB3"/>
    <w:rsid w:val="67D57A24"/>
    <w:rsid w:val="67DF5F04"/>
    <w:rsid w:val="68120D1A"/>
    <w:rsid w:val="682F28F8"/>
    <w:rsid w:val="68684D3C"/>
    <w:rsid w:val="688D5B04"/>
    <w:rsid w:val="68917F75"/>
    <w:rsid w:val="689E0944"/>
    <w:rsid w:val="68A52671"/>
    <w:rsid w:val="68AE78F1"/>
    <w:rsid w:val="68D636CE"/>
    <w:rsid w:val="6901614F"/>
    <w:rsid w:val="69020CEC"/>
    <w:rsid w:val="6922138F"/>
    <w:rsid w:val="693437CF"/>
    <w:rsid w:val="696E046B"/>
    <w:rsid w:val="698931BC"/>
    <w:rsid w:val="69946898"/>
    <w:rsid w:val="69BA258F"/>
    <w:rsid w:val="69C9782B"/>
    <w:rsid w:val="69EA149B"/>
    <w:rsid w:val="69F83E9D"/>
    <w:rsid w:val="6A210643"/>
    <w:rsid w:val="6A260E7D"/>
    <w:rsid w:val="6A786AB1"/>
    <w:rsid w:val="6AB1057B"/>
    <w:rsid w:val="6AB16F29"/>
    <w:rsid w:val="6ABC136F"/>
    <w:rsid w:val="6ABE50E7"/>
    <w:rsid w:val="6AC67AF8"/>
    <w:rsid w:val="6AE77ED7"/>
    <w:rsid w:val="6AF93390"/>
    <w:rsid w:val="6AFC5A8B"/>
    <w:rsid w:val="6B150BE5"/>
    <w:rsid w:val="6B8579B3"/>
    <w:rsid w:val="6B930900"/>
    <w:rsid w:val="6BB06970"/>
    <w:rsid w:val="6BB75F34"/>
    <w:rsid w:val="6BB97AD6"/>
    <w:rsid w:val="6BE616CE"/>
    <w:rsid w:val="6BF1329A"/>
    <w:rsid w:val="6BF84629"/>
    <w:rsid w:val="6C00509B"/>
    <w:rsid w:val="6C131266"/>
    <w:rsid w:val="6C216205"/>
    <w:rsid w:val="6C704F03"/>
    <w:rsid w:val="6C78404A"/>
    <w:rsid w:val="6CD06643"/>
    <w:rsid w:val="6CE133B2"/>
    <w:rsid w:val="6CF36F62"/>
    <w:rsid w:val="6CF37284"/>
    <w:rsid w:val="6CF6233D"/>
    <w:rsid w:val="6D043506"/>
    <w:rsid w:val="6D1B05CF"/>
    <w:rsid w:val="6D1E0A69"/>
    <w:rsid w:val="6D2E351C"/>
    <w:rsid w:val="6D3722AC"/>
    <w:rsid w:val="6D3D699B"/>
    <w:rsid w:val="6D717ED0"/>
    <w:rsid w:val="6D9E7A27"/>
    <w:rsid w:val="6DB13B2B"/>
    <w:rsid w:val="6DB36A59"/>
    <w:rsid w:val="6DFA778C"/>
    <w:rsid w:val="6E0A419F"/>
    <w:rsid w:val="6E225129"/>
    <w:rsid w:val="6E2C7CB6"/>
    <w:rsid w:val="6E2D557F"/>
    <w:rsid w:val="6E384497"/>
    <w:rsid w:val="6E526272"/>
    <w:rsid w:val="6E601B66"/>
    <w:rsid w:val="6E654083"/>
    <w:rsid w:val="6EB27B3F"/>
    <w:rsid w:val="6EE90259"/>
    <w:rsid w:val="6EF05C79"/>
    <w:rsid w:val="6F0C6A0E"/>
    <w:rsid w:val="6F215871"/>
    <w:rsid w:val="6F301326"/>
    <w:rsid w:val="6F3940D1"/>
    <w:rsid w:val="6F4322F9"/>
    <w:rsid w:val="6F486D8A"/>
    <w:rsid w:val="6F492FC7"/>
    <w:rsid w:val="6F4F0078"/>
    <w:rsid w:val="6F7679F7"/>
    <w:rsid w:val="6F8D2AC6"/>
    <w:rsid w:val="6F9C1FF4"/>
    <w:rsid w:val="6FA42E21"/>
    <w:rsid w:val="6FB14B95"/>
    <w:rsid w:val="6FBE7937"/>
    <w:rsid w:val="6FF41F1C"/>
    <w:rsid w:val="70111B76"/>
    <w:rsid w:val="701B6B38"/>
    <w:rsid w:val="702A6D7B"/>
    <w:rsid w:val="702C5799"/>
    <w:rsid w:val="70317497"/>
    <w:rsid w:val="705507C1"/>
    <w:rsid w:val="70672665"/>
    <w:rsid w:val="707A560C"/>
    <w:rsid w:val="709604BC"/>
    <w:rsid w:val="70A33376"/>
    <w:rsid w:val="70D42B79"/>
    <w:rsid w:val="70D45BE7"/>
    <w:rsid w:val="70EB1300"/>
    <w:rsid w:val="70F45858"/>
    <w:rsid w:val="71005FFA"/>
    <w:rsid w:val="711B039A"/>
    <w:rsid w:val="71361251"/>
    <w:rsid w:val="71562A57"/>
    <w:rsid w:val="71777D9E"/>
    <w:rsid w:val="71820E51"/>
    <w:rsid w:val="719E17CE"/>
    <w:rsid w:val="71C56D5B"/>
    <w:rsid w:val="71E33685"/>
    <w:rsid w:val="720E3639"/>
    <w:rsid w:val="7214383E"/>
    <w:rsid w:val="72510345"/>
    <w:rsid w:val="72601DD4"/>
    <w:rsid w:val="728B5C67"/>
    <w:rsid w:val="72A5093A"/>
    <w:rsid w:val="731E52E1"/>
    <w:rsid w:val="73423B28"/>
    <w:rsid w:val="73532EFF"/>
    <w:rsid w:val="73700F48"/>
    <w:rsid w:val="73913337"/>
    <w:rsid w:val="73994C91"/>
    <w:rsid w:val="73A0182E"/>
    <w:rsid w:val="73C82B32"/>
    <w:rsid w:val="73F77E15"/>
    <w:rsid w:val="74060961"/>
    <w:rsid w:val="741B3D09"/>
    <w:rsid w:val="74492111"/>
    <w:rsid w:val="744A6ED7"/>
    <w:rsid w:val="746A1AD1"/>
    <w:rsid w:val="748D1D46"/>
    <w:rsid w:val="74A359CD"/>
    <w:rsid w:val="74A8512B"/>
    <w:rsid w:val="74B84955"/>
    <w:rsid w:val="74DA48CB"/>
    <w:rsid w:val="7519318A"/>
    <w:rsid w:val="75243816"/>
    <w:rsid w:val="75297601"/>
    <w:rsid w:val="752A4247"/>
    <w:rsid w:val="752C5CAF"/>
    <w:rsid w:val="755C6F71"/>
    <w:rsid w:val="75610F9E"/>
    <w:rsid w:val="75C67EBC"/>
    <w:rsid w:val="75E45918"/>
    <w:rsid w:val="75FA2D4B"/>
    <w:rsid w:val="760077C9"/>
    <w:rsid w:val="760C477D"/>
    <w:rsid w:val="76121592"/>
    <w:rsid w:val="761E6A3A"/>
    <w:rsid w:val="763C54EF"/>
    <w:rsid w:val="767955C1"/>
    <w:rsid w:val="76AE0F04"/>
    <w:rsid w:val="76C021E7"/>
    <w:rsid w:val="76C80318"/>
    <w:rsid w:val="76E8465F"/>
    <w:rsid w:val="770420D4"/>
    <w:rsid w:val="771244E7"/>
    <w:rsid w:val="771658B7"/>
    <w:rsid w:val="77185FAF"/>
    <w:rsid w:val="7718792D"/>
    <w:rsid w:val="771B11CB"/>
    <w:rsid w:val="771D4F43"/>
    <w:rsid w:val="77621D88"/>
    <w:rsid w:val="776765D3"/>
    <w:rsid w:val="776963DA"/>
    <w:rsid w:val="777D642A"/>
    <w:rsid w:val="77EB5041"/>
    <w:rsid w:val="77F83C6D"/>
    <w:rsid w:val="780B13AE"/>
    <w:rsid w:val="780D2D50"/>
    <w:rsid w:val="78290B92"/>
    <w:rsid w:val="7829177C"/>
    <w:rsid w:val="78436C2C"/>
    <w:rsid w:val="785B1F91"/>
    <w:rsid w:val="787365E2"/>
    <w:rsid w:val="78BB0AAA"/>
    <w:rsid w:val="78EE303B"/>
    <w:rsid w:val="792C5912"/>
    <w:rsid w:val="79454889"/>
    <w:rsid w:val="794A5D98"/>
    <w:rsid w:val="79713117"/>
    <w:rsid w:val="799139C7"/>
    <w:rsid w:val="799D236B"/>
    <w:rsid w:val="799E7E53"/>
    <w:rsid w:val="79A61220"/>
    <w:rsid w:val="79B10C2A"/>
    <w:rsid w:val="79D5122F"/>
    <w:rsid w:val="79EB6BD5"/>
    <w:rsid w:val="79F2548F"/>
    <w:rsid w:val="79F30FA6"/>
    <w:rsid w:val="7A0F3269"/>
    <w:rsid w:val="7A197442"/>
    <w:rsid w:val="7A2738B5"/>
    <w:rsid w:val="7A505630"/>
    <w:rsid w:val="7A635363"/>
    <w:rsid w:val="7A752A91"/>
    <w:rsid w:val="7A816FD1"/>
    <w:rsid w:val="7A923E9A"/>
    <w:rsid w:val="7A9A71FB"/>
    <w:rsid w:val="7AA52888"/>
    <w:rsid w:val="7AD905C0"/>
    <w:rsid w:val="7AF37024"/>
    <w:rsid w:val="7AF86A01"/>
    <w:rsid w:val="7B020734"/>
    <w:rsid w:val="7B113344"/>
    <w:rsid w:val="7B2243A7"/>
    <w:rsid w:val="7B242D44"/>
    <w:rsid w:val="7B3867F0"/>
    <w:rsid w:val="7B5D15AA"/>
    <w:rsid w:val="7B5F203B"/>
    <w:rsid w:val="7B846A51"/>
    <w:rsid w:val="7B9C4FB3"/>
    <w:rsid w:val="7BB221D7"/>
    <w:rsid w:val="7BCD6588"/>
    <w:rsid w:val="7BDF2F80"/>
    <w:rsid w:val="7BEE10C0"/>
    <w:rsid w:val="7BF3349A"/>
    <w:rsid w:val="7BF6216A"/>
    <w:rsid w:val="7C091DB2"/>
    <w:rsid w:val="7C1510B1"/>
    <w:rsid w:val="7C2F624D"/>
    <w:rsid w:val="7C305719"/>
    <w:rsid w:val="7C5048CB"/>
    <w:rsid w:val="7C6D172B"/>
    <w:rsid w:val="7C6D67EE"/>
    <w:rsid w:val="7C7167F4"/>
    <w:rsid w:val="7C765821"/>
    <w:rsid w:val="7C9557C0"/>
    <w:rsid w:val="7C9B1B97"/>
    <w:rsid w:val="7CA60149"/>
    <w:rsid w:val="7CE111F7"/>
    <w:rsid w:val="7CE56AD7"/>
    <w:rsid w:val="7CEC1655"/>
    <w:rsid w:val="7D024646"/>
    <w:rsid w:val="7D3B25C7"/>
    <w:rsid w:val="7D504374"/>
    <w:rsid w:val="7D705BC1"/>
    <w:rsid w:val="7D8F646F"/>
    <w:rsid w:val="7D941903"/>
    <w:rsid w:val="7D976E56"/>
    <w:rsid w:val="7DA939D5"/>
    <w:rsid w:val="7DB6245D"/>
    <w:rsid w:val="7DD62491"/>
    <w:rsid w:val="7DE04732"/>
    <w:rsid w:val="7DFA7FB1"/>
    <w:rsid w:val="7E1B633B"/>
    <w:rsid w:val="7E3872CB"/>
    <w:rsid w:val="7E39772C"/>
    <w:rsid w:val="7E4C76AB"/>
    <w:rsid w:val="7E4E5CE5"/>
    <w:rsid w:val="7E81225C"/>
    <w:rsid w:val="7E835FD4"/>
    <w:rsid w:val="7EB92FFB"/>
    <w:rsid w:val="7EF14C08"/>
    <w:rsid w:val="7F0C7688"/>
    <w:rsid w:val="7F1615DE"/>
    <w:rsid w:val="7F1C1F84"/>
    <w:rsid w:val="7F221EC4"/>
    <w:rsid w:val="7F6107A3"/>
    <w:rsid w:val="7F7E679B"/>
    <w:rsid w:val="7F8738A2"/>
    <w:rsid w:val="7FA11016"/>
    <w:rsid w:val="7FB37720"/>
    <w:rsid w:val="7FB5609A"/>
    <w:rsid w:val="7FE726DE"/>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widowControl w:val="0"/>
      <w:spacing w:before="340" w:after="330" w:line="578" w:lineRule="auto"/>
      <w:outlineLvl w:val="0"/>
    </w:pPr>
    <w:rPr>
      <w:b/>
      <w:bCs/>
      <w:kern w:val="44"/>
      <w:sz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413" w:lineRule="auto"/>
      <w:outlineLvl w:val="2"/>
    </w:pPr>
    <w:rPr>
      <w:b/>
      <w:bCs/>
      <w:sz w:val="32"/>
      <w:szCs w:val="32"/>
    </w:rPr>
  </w:style>
  <w:style w:type="paragraph" w:styleId="5">
    <w:name w:val="heading 4"/>
    <w:basedOn w:val="1"/>
    <w:next w:val="1"/>
    <w:qFormat/>
    <w:uiPriority w:val="0"/>
    <w:pPr>
      <w:keepNext/>
      <w:keepLines/>
      <w:spacing w:line="372" w:lineRule="auto"/>
      <w:outlineLvl w:val="3"/>
    </w:pPr>
    <w:rPr>
      <w:rFonts w:ascii="Arial" w:hAnsi="Arial" w:eastAsia="黑体"/>
      <w:b/>
      <w:bCs/>
      <w:sz w:val="28"/>
      <w:szCs w:val="28"/>
    </w:rPr>
  </w:style>
  <w:style w:type="paragraph" w:styleId="6">
    <w:name w:val="heading 6"/>
    <w:basedOn w:val="1"/>
    <w:next w:val="1"/>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ind w:firstLine="420" w:firstLineChars="200"/>
    </w:pPr>
  </w:style>
  <w:style w:type="paragraph" w:styleId="8">
    <w:name w:val="List Bullet"/>
    <w:basedOn w:val="1"/>
    <w:next w:val="1"/>
    <w:autoRedefine/>
    <w:qFormat/>
    <w:uiPriority w:val="0"/>
    <w:pPr>
      <w:numPr>
        <w:ilvl w:val="0"/>
        <w:numId w:val="1"/>
      </w:numPr>
    </w:pPr>
  </w:style>
  <w:style w:type="paragraph" w:styleId="9">
    <w:name w:val="annotation text"/>
    <w:basedOn w:val="1"/>
    <w:autoRedefine/>
    <w:semiHidden/>
    <w:qFormat/>
    <w:uiPriority w:val="0"/>
    <w:pPr>
      <w:jc w:val="left"/>
    </w:pPr>
  </w:style>
  <w:style w:type="paragraph" w:styleId="10">
    <w:name w:val="Body Text"/>
    <w:basedOn w:val="1"/>
    <w:next w:val="11"/>
    <w:autoRedefine/>
    <w:qFormat/>
    <w:uiPriority w:val="0"/>
    <w:pPr>
      <w:spacing w:after="120" w:afterLines="0"/>
    </w:pPr>
  </w:style>
  <w:style w:type="paragraph" w:styleId="11">
    <w:name w:val="Body Text First Indent"/>
    <w:basedOn w:val="10"/>
    <w:next w:val="1"/>
    <w:autoRedefine/>
    <w:qFormat/>
    <w:uiPriority w:val="0"/>
    <w:pPr>
      <w:autoSpaceDE w:val="0"/>
      <w:autoSpaceDN w:val="0"/>
      <w:adjustRightInd w:val="0"/>
      <w:ind w:firstLine="420" w:firstLineChars="100"/>
      <w:textAlignment w:val="baseline"/>
    </w:pPr>
    <w:rPr>
      <w:kern w:val="0"/>
      <w:sz w:val="24"/>
      <w:szCs w:val="20"/>
    </w:rPr>
  </w:style>
  <w:style w:type="paragraph" w:styleId="12">
    <w:name w:val="Body Text Indent"/>
    <w:basedOn w:val="1"/>
    <w:next w:val="1"/>
    <w:autoRedefine/>
    <w:qFormat/>
    <w:uiPriority w:val="0"/>
    <w:pPr>
      <w:spacing w:line="360" w:lineRule="auto"/>
      <w:ind w:firstLine="560" w:firstLineChars="200"/>
    </w:pPr>
    <w:rPr>
      <w:rFonts w:ascii="宋体" w:hAnsi="宋体"/>
      <w:sz w:val="28"/>
      <w:szCs w:val="20"/>
      <w:u w:val="single"/>
    </w:rPr>
  </w:style>
  <w:style w:type="paragraph" w:styleId="13">
    <w:name w:val="List Bullet 2"/>
    <w:basedOn w:val="1"/>
    <w:next w:val="8"/>
    <w:autoRedefine/>
    <w:qFormat/>
    <w:uiPriority w:val="0"/>
    <w:pPr>
      <w:numPr>
        <w:ilvl w:val="0"/>
        <w:numId w:val="2"/>
      </w:numPr>
    </w:pPr>
  </w:style>
  <w:style w:type="paragraph" w:styleId="14">
    <w:name w:val="index 4"/>
    <w:basedOn w:val="1"/>
    <w:next w:val="1"/>
    <w:qFormat/>
    <w:uiPriority w:val="0"/>
    <w:pPr>
      <w:ind w:left="600" w:leftChars="600"/>
    </w:pPr>
  </w:style>
  <w:style w:type="paragraph" w:styleId="15">
    <w:name w:val="Plain Text"/>
    <w:basedOn w:val="1"/>
    <w:autoRedefine/>
    <w:qFormat/>
    <w:uiPriority w:val="0"/>
    <w:rPr>
      <w:rFonts w:ascii="宋体" w:hAnsi="Courier New" w:cs="ˎ̥"/>
      <w:szCs w:val="21"/>
    </w:rPr>
  </w:style>
  <w:style w:type="paragraph" w:styleId="16">
    <w:name w:val="Date"/>
    <w:basedOn w:val="1"/>
    <w:next w:val="1"/>
    <w:autoRedefine/>
    <w:qFormat/>
    <w:uiPriority w:val="0"/>
    <w:pPr>
      <w:ind w:left="100" w:leftChars="2500"/>
    </w:pPr>
  </w:style>
  <w:style w:type="paragraph" w:styleId="17">
    <w:name w:val="footer"/>
    <w:basedOn w:val="1"/>
    <w:autoRedefine/>
    <w:qFormat/>
    <w:uiPriority w:val="0"/>
    <w:pPr>
      <w:tabs>
        <w:tab w:val="center" w:pos="4153"/>
        <w:tab w:val="right" w:pos="8306"/>
      </w:tabs>
      <w:snapToGrid w:val="0"/>
      <w:jc w:val="left"/>
    </w:pPr>
    <w:rPr>
      <w:sz w:val="18"/>
      <w:szCs w:val="18"/>
    </w:rPr>
  </w:style>
  <w:style w:type="paragraph" w:styleId="18">
    <w:name w:val="envelope return"/>
    <w:basedOn w:val="1"/>
    <w:autoRedefine/>
    <w:unhideWhenUsed/>
    <w:qFormat/>
    <w:uiPriority w:val="99"/>
    <w:pPr>
      <w:snapToGrid w:val="0"/>
    </w:pPr>
    <w:rPr>
      <w:rFonts w:ascii="Arial" w:hAnsi="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widowControl/>
      <w:autoSpaceDE/>
      <w:autoSpaceDN/>
      <w:adjustRightInd/>
      <w:spacing w:after="100" w:line="259" w:lineRule="auto"/>
    </w:pPr>
    <w:rPr>
      <w:rFonts w:ascii="等线" w:hAnsi="等线" w:eastAsia="等线"/>
      <w:sz w:val="22"/>
      <w:szCs w:val="22"/>
    </w:rPr>
  </w:style>
  <w:style w:type="paragraph" w:styleId="21">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2">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3">
    <w:name w:val="Body Text First Indent 2"/>
    <w:basedOn w:val="12"/>
    <w:next w:val="11"/>
    <w:qFormat/>
    <w:uiPriority w:val="0"/>
    <w:pPr>
      <w:ind w:firstLine="420" w:firstLineChars="200"/>
    </w:pPr>
    <w:rPr>
      <w:rFonts w:ascii="Times New Roman" w:hAnsi="Times New Roman" w:eastAsia="宋体" w:cs="Times New Roman"/>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bCs/>
    </w:rPr>
  </w:style>
  <w:style w:type="character" w:styleId="28">
    <w:name w:val="FollowedHyperlink"/>
    <w:basedOn w:val="26"/>
    <w:autoRedefine/>
    <w:qFormat/>
    <w:uiPriority w:val="0"/>
    <w:rPr>
      <w:rFonts w:hint="eastAsia" w:ascii="微软雅黑" w:hAnsi="微软雅黑" w:eastAsia="微软雅黑" w:cs="微软雅黑"/>
      <w:color w:val="333333"/>
      <w:u w:val="none"/>
    </w:rPr>
  </w:style>
  <w:style w:type="character" w:styleId="29">
    <w:name w:val="Emphasis"/>
    <w:basedOn w:val="26"/>
    <w:qFormat/>
    <w:uiPriority w:val="0"/>
    <w:rPr>
      <w:b/>
      <w:bCs/>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rPr>
      <w:vanish/>
    </w:rPr>
  </w:style>
  <w:style w:type="character" w:styleId="33">
    <w:name w:val="HTML Variable"/>
    <w:basedOn w:val="26"/>
    <w:qFormat/>
    <w:uiPriority w:val="0"/>
  </w:style>
  <w:style w:type="character" w:styleId="34">
    <w:name w:val="Hyperlink"/>
    <w:basedOn w:val="26"/>
    <w:autoRedefine/>
    <w:qFormat/>
    <w:uiPriority w:val="0"/>
    <w:rPr>
      <w:rFonts w:ascii="微软雅黑" w:hAnsi="微软雅黑" w:eastAsia="微软雅黑" w:cs="微软雅黑"/>
      <w:color w:val="333333"/>
      <w:u w:val="none"/>
    </w:rPr>
  </w:style>
  <w:style w:type="character" w:styleId="35">
    <w:name w:val="HTML Code"/>
    <w:basedOn w:val="26"/>
    <w:qFormat/>
    <w:uiPriority w:val="0"/>
    <w:rPr>
      <w:rFonts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hint="default" w:ascii="monospace" w:hAnsi="monospace" w:eastAsia="monospace" w:cs="monospace"/>
      <w:sz w:val="20"/>
    </w:rPr>
  </w:style>
  <w:style w:type="character" w:styleId="38">
    <w:name w:val="HTML Sample"/>
    <w:basedOn w:val="26"/>
    <w:qFormat/>
    <w:uiPriority w:val="0"/>
    <w:rPr>
      <w:rFonts w:hint="default" w:ascii="monospace" w:hAnsi="monospace" w:eastAsia="monospace" w:cs="monospace"/>
    </w:rPr>
  </w:style>
  <w:style w:type="paragraph" w:customStyle="1" w:styleId="39">
    <w:name w:val="正文首行缩进 21"/>
    <w:basedOn w:val="12"/>
    <w:autoRedefine/>
    <w:qFormat/>
    <w:uiPriority w:val="0"/>
    <w:pPr>
      <w:spacing w:after="120"/>
      <w:ind w:left="420" w:leftChars="200"/>
    </w:pPr>
    <w:rPr>
      <w:szCs w:val="22"/>
    </w:rPr>
  </w:style>
  <w:style w:type="paragraph" w:customStyle="1" w:styleId="40">
    <w:name w:val="内文正文"/>
    <w:autoRedefine/>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41">
    <w:name w:val="正文_0"/>
    <w:autoRedefine/>
    <w:qFormat/>
    <w:uiPriority w:val="1"/>
    <w:pPr>
      <w:jc w:val="both"/>
    </w:pPr>
    <w:rPr>
      <w:rFonts w:ascii="Times New Roman" w:hAnsi="Times New Roman" w:eastAsia="宋体" w:cs="Times New Roman"/>
      <w:sz w:val="21"/>
      <w:szCs w:val="21"/>
      <w:lang w:val="en-US" w:eastAsia="zh-CN" w:bidi="ar-SA"/>
    </w:rPr>
  </w:style>
  <w:style w:type="paragraph" w:customStyle="1" w:styleId="42">
    <w:name w:val="Table Paragraph"/>
    <w:basedOn w:val="1"/>
    <w:autoRedefine/>
    <w:qFormat/>
    <w:uiPriority w:val="1"/>
  </w:style>
  <w:style w:type="paragraph" w:customStyle="1" w:styleId="43">
    <w:name w:val="Table Text"/>
    <w:basedOn w:val="1"/>
    <w:autoRedefine/>
    <w:semiHidden/>
    <w:qFormat/>
    <w:uiPriority w:val="0"/>
    <w:rPr>
      <w:rFonts w:ascii="微软雅黑" w:hAnsi="微软雅黑" w:eastAsia="微软雅黑" w:cs="微软雅黑"/>
      <w:sz w:val="24"/>
      <w:szCs w:val="24"/>
      <w:lang w:val="en-US" w:eastAsia="en-US" w:bidi="ar-SA"/>
    </w:rPr>
  </w:style>
  <w:style w:type="paragraph" w:customStyle="1" w:styleId="44">
    <w:name w:val="正文，首行缩进:"/>
    <w:basedOn w:val="1"/>
    <w:autoRedefine/>
    <w:qFormat/>
    <w:uiPriority w:val="0"/>
    <w:pPr>
      <w:tabs>
        <w:tab w:val="left" w:pos="3376"/>
      </w:tabs>
      <w:spacing w:line="460" w:lineRule="exact"/>
      <w:ind w:firstLine="480" w:firstLineChars="200"/>
    </w:pPr>
    <w:rPr>
      <w:rFonts w:ascii="宋体" w:hAnsi="宋体" w:cs="宋体"/>
      <w:szCs w:val="20"/>
    </w:rPr>
  </w:style>
  <w:style w:type="paragraph" w:customStyle="1" w:styleId="45">
    <w:name w:val="[Normal]"/>
    <w:autoRedefine/>
    <w:qFormat/>
    <w:uiPriority w:val="0"/>
    <w:rPr>
      <w:rFonts w:ascii="宋体" w:hAnsi="宋体" w:eastAsia="宋体" w:cs="Times New Roman"/>
      <w:sz w:val="24"/>
      <w:szCs w:val="22"/>
      <w:lang w:val="zh-CN" w:eastAsia="zh-CN" w:bidi="ar-SA"/>
    </w:rPr>
  </w:style>
  <w:style w:type="paragraph" w:customStyle="1" w:styleId="46">
    <w:name w:val="List Paragraph"/>
    <w:basedOn w:val="1"/>
    <w:autoRedefine/>
    <w:qFormat/>
    <w:uiPriority w:val="0"/>
  </w:style>
  <w:style w:type="paragraph" w:customStyle="1" w:styleId="47">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48">
    <w:name w:val="Char Char Char"/>
    <w:basedOn w:val="1"/>
    <w:autoRedefine/>
    <w:qFormat/>
    <w:uiPriority w:val="0"/>
    <w:rPr>
      <w:rFonts w:ascii="Tahoma" w:hAnsi="Tahoma"/>
      <w:szCs w:val="20"/>
    </w:rPr>
  </w:style>
  <w:style w:type="paragraph" w:customStyle="1" w:styleId="49">
    <w:name w:val="Normal_8_0"/>
    <w:autoRedefine/>
    <w:qFormat/>
    <w:uiPriority w:val="0"/>
    <w:rPr>
      <w:rFonts w:ascii="Times New Roman" w:hAnsi="Times New Roman" w:eastAsia="Times New Roman" w:cs="Times New Roman"/>
      <w:sz w:val="24"/>
      <w:szCs w:val="24"/>
    </w:rPr>
  </w:style>
  <w:style w:type="paragraph" w:customStyle="1" w:styleId="50">
    <w:name w:val="Normal_10"/>
    <w:autoRedefine/>
    <w:qFormat/>
    <w:uiPriority w:val="0"/>
    <w:rPr>
      <w:rFonts w:ascii="Times New Roman" w:hAnsi="Times New Roman" w:eastAsia="Times New Roman" w:cs="Times New Roman"/>
      <w:sz w:val="24"/>
      <w:szCs w:val="24"/>
    </w:rPr>
  </w:style>
  <w:style w:type="paragraph" w:customStyle="1" w:styleId="51">
    <w:name w:val="正文_1_0_1"/>
    <w:next w:val="52"/>
    <w:autoRedefine/>
    <w:qFormat/>
    <w:uiPriority w:val="1"/>
    <w:pPr>
      <w:jc w:val="both"/>
    </w:pPr>
    <w:rPr>
      <w:rFonts w:ascii="Times New Roman" w:hAnsi="Times New Roman" w:eastAsia="宋体" w:cs="Times New Roman"/>
      <w:lang w:val="en-US" w:eastAsia="zh-CN" w:bidi="ar-SA"/>
    </w:rPr>
  </w:style>
  <w:style w:type="paragraph" w:customStyle="1" w:styleId="52">
    <w:name w:val="正文首行缩进_1_2"/>
    <w:basedOn w:val="53"/>
    <w:next w:val="51"/>
    <w:autoRedefine/>
    <w:qFormat/>
    <w:uiPriority w:val="0"/>
    <w:pPr>
      <w:ind w:firstLine="420"/>
    </w:pPr>
    <w:rPr>
      <w:sz w:val="20"/>
      <w:szCs w:val="20"/>
    </w:rPr>
  </w:style>
  <w:style w:type="paragraph" w:customStyle="1" w:styleId="53">
    <w:name w:val="正文文本_1_1"/>
    <w:basedOn w:val="54"/>
    <w:next w:val="52"/>
    <w:autoRedefine/>
    <w:unhideWhenUsed/>
    <w:qFormat/>
    <w:uiPriority w:val="0"/>
    <w:pPr>
      <w:spacing w:after="120"/>
    </w:pPr>
  </w:style>
  <w:style w:type="paragraph" w:customStyle="1" w:styleId="54">
    <w:name w:val="正文_3_2_0"/>
    <w:next w:val="52"/>
    <w:autoRedefine/>
    <w:qFormat/>
    <w:uiPriority w:val="1"/>
    <w:pPr>
      <w:jc w:val="both"/>
    </w:pPr>
    <w:rPr>
      <w:rFonts w:ascii="Times New Roman" w:hAnsi="Times New Roman" w:eastAsia="宋体" w:cs="Times New Roman"/>
      <w:sz w:val="21"/>
      <w:szCs w:val="21"/>
      <w:lang w:val="en-US" w:eastAsia="zh-CN" w:bidi="ar-SA"/>
    </w:rPr>
  </w:style>
  <w:style w:type="paragraph" w:customStyle="1" w:styleId="55">
    <w:name w:val="Normal_20"/>
    <w:next w:val="56"/>
    <w:autoRedefine/>
    <w:qFormat/>
    <w:uiPriority w:val="0"/>
    <w:pPr>
      <w:widowControl w:val="0"/>
      <w:jc w:val="both"/>
    </w:pPr>
    <w:rPr>
      <w:rFonts w:ascii="等线" w:hAnsi="等线" w:eastAsia="等线" w:cs="Times New Roman"/>
      <w:kern w:val="2"/>
      <w:sz w:val="21"/>
      <w:szCs w:val="22"/>
      <w:lang w:val="en-US" w:eastAsia="zh-CN" w:bidi="ar-SA"/>
    </w:rPr>
  </w:style>
  <w:style w:type="paragraph" w:customStyle="1" w:styleId="56">
    <w:name w:val="Title_0_0"/>
    <w:basedOn w:val="55"/>
    <w:next w:val="55"/>
    <w:autoRedefine/>
    <w:qFormat/>
    <w:uiPriority w:val="0"/>
    <w:pPr>
      <w:jc w:val="center"/>
      <w:textAlignment w:val="baseline"/>
    </w:pPr>
    <w:rPr>
      <w:rFonts w:ascii="Arial" w:hAnsi="Arial" w:eastAsia="Times New Roman"/>
      <w:b/>
      <w:kern w:val="0"/>
      <w:sz w:val="32"/>
      <w:szCs w:val="32"/>
    </w:rPr>
  </w:style>
  <w:style w:type="paragraph" w:customStyle="1" w:styleId="57">
    <w:name w:val="_Style 1"/>
    <w:autoRedefine/>
    <w:qFormat/>
    <w:uiPriority w:val="0"/>
    <w:rPr>
      <w:rFonts w:ascii="Calibri" w:hAnsi="Calibri" w:eastAsia="宋体" w:cs="Times New Roman"/>
      <w:kern w:val="2"/>
      <w:sz w:val="28"/>
      <w:szCs w:val="22"/>
      <w:lang w:val="en-US" w:eastAsia="zh-CN" w:bidi="ar-SA"/>
    </w:rPr>
  </w:style>
  <w:style w:type="paragraph" w:customStyle="1" w:styleId="58">
    <w:name w:val="Body text|1"/>
    <w:basedOn w:val="1"/>
    <w:autoRedefine/>
    <w:qFormat/>
    <w:uiPriority w:val="0"/>
    <w:pPr>
      <w:widowControl w:val="0"/>
      <w:shd w:val="clear" w:color="auto" w:fill="auto"/>
      <w:spacing w:line="415" w:lineRule="auto"/>
      <w:ind w:firstLine="400"/>
    </w:pPr>
    <w:rPr>
      <w:rFonts w:ascii="宋体" w:hAnsi="宋体" w:eastAsia="宋体" w:cs="宋体"/>
      <w:sz w:val="22"/>
      <w:szCs w:val="22"/>
      <w:u w:val="none"/>
      <w:shd w:val="clear" w:color="auto" w:fill="auto"/>
      <w:lang w:val="zh-TW" w:eastAsia="zh-TW" w:bidi="zh-TW"/>
    </w:rPr>
  </w:style>
  <w:style w:type="paragraph" w:customStyle="1" w:styleId="59">
    <w:name w:val="Other|1"/>
    <w:basedOn w:val="1"/>
    <w:autoRedefine/>
    <w:qFormat/>
    <w:uiPriority w:val="0"/>
    <w:pPr>
      <w:widowControl w:val="0"/>
      <w:shd w:val="clear" w:color="auto" w:fill="auto"/>
      <w:spacing w:line="415" w:lineRule="auto"/>
      <w:ind w:firstLine="400"/>
    </w:pPr>
    <w:rPr>
      <w:rFonts w:ascii="宋体" w:hAnsi="宋体" w:eastAsia="宋体" w:cs="宋体"/>
      <w:sz w:val="22"/>
      <w:szCs w:val="22"/>
      <w:u w:val="none"/>
      <w:shd w:val="clear" w:color="auto" w:fill="auto"/>
      <w:lang w:val="zh-TW" w:eastAsia="zh-TW" w:bidi="zh-TW"/>
    </w:rPr>
  </w:style>
  <w:style w:type="table" w:customStyle="1" w:styleId="60">
    <w:name w:val="Table Normal"/>
    <w:autoRedefine/>
    <w:semiHidden/>
    <w:unhideWhenUsed/>
    <w:qFormat/>
    <w:uiPriority w:val="0"/>
    <w:tblPr>
      <w:tblCellMar>
        <w:top w:w="0" w:type="dxa"/>
        <w:left w:w="0" w:type="dxa"/>
        <w:bottom w:w="0" w:type="dxa"/>
        <w:right w:w="0" w:type="dxa"/>
      </w:tblCellMar>
    </w:tblPr>
  </w:style>
  <w:style w:type="paragraph" w:customStyle="1" w:styleId="61">
    <w:name w:val="正文_2"/>
    <w:autoRedefine/>
    <w:qFormat/>
    <w:uiPriority w:val="1"/>
    <w:pPr>
      <w:jc w:val="both"/>
    </w:pPr>
    <w:rPr>
      <w:rFonts w:ascii="Times New Roman" w:hAnsi="Times New Roman" w:eastAsia="宋体" w:cs="Times New Roman"/>
      <w:sz w:val="21"/>
      <w:szCs w:val="21"/>
      <w:lang w:val="en-US" w:eastAsia="zh-CN" w:bidi="ar-SA"/>
    </w:rPr>
  </w:style>
  <w:style w:type="paragraph" w:customStyle="1" w:styleId="62">
    <w:name w:val="表格文字"/>
    <w:basedOn w:val="1"/>
    <w:next w:val="10"/>
    <w:autoRedefine/>
    <w:qFormat/>
    <w:uiPriority w:val="0"/>
    <w:pPr>
      <w:adjustRightInd w:val="0"/>
      <w:spacing w:line="420" w:lineRule="atLeast"/>
      <w:jc w:val="left"/>
      <w:textAlignment w:val="baseline"/>
    </w:pPr>
    <w:rPr>
      <w:kern w:val="0"/>
      <w:szCs w:val="20"/>
    </w:rPr>
  </w:style>
  <w:style w:type="paragraph" w:customStyle="1" w:styleId="63">
    <w:name w:val="协议书标题2"/>
    <w:basedOn w:val="3"/>
    <w:next w:val="1"/>
    <w:autoRedefine/>
    <w:qFormat/>
    <w:uiPriority w:val="0"/>
    <w:pPr>
      <w:keepNext w:val="0"/>
      <w:keepLines w:val="0"/>
      <w:widowControl/>
      <w:tabs>
        <w:tab w:val="left" w:pos="567"/>
      </w:tabs>
      <w:wordWrap w:val="0"/>
      <w:topLinePunct/>
      <w:adjustRightInd w:val="0"/>
      <w:snapToGrid w:val="0"/>
      <w:spacing w:before="0" w:after="120" w:afterLines="50" w:line="360" w:lineRule="auto"/>
      <w:jc w:val="left"/>
    </w:pPr>
    <w:rPr>
      <w:rFonts w:ascii="宋体" w:hAnsi="宋体" w:eastAsia="宋体"/>
      <w:bCs w:val="0"/>
      <w:kern w:val="0"/>
      <w:sz w:val="24"/>
      <w:szCs w:val="20"/>
    </w:rPr>
  </w:style>
  <w:style w:type="paragraph" w:customStyle="1" w:styleId="64">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列出段落2"/>
    <w:basedOn w:val="1"/>
    <w:autoRedefine/>
    <w:qFormat/>
    <w:uiPriority w:val="99"/>
    <w:pPr>
      <w:ind w:firstLine="420" w:firstLineChars="200"/>
    </w:pPr>
  </w:style>
  <w:style w:type="paragraph" w:customStyle="1" w:styleId="66">
    <w:name w:val="专用标题2"/>
    <w:basedOn w:val="3"/>
    <w:next w:val="1"/>
    <w:autoRedefine/>
    <w:qFormat/>
    <w:uiPriority w:val="0"/>
    <w:pPr>
      <w:keepNext w:val="0"/>
      <w:keepLines w:val="0"/>
      <w:widowControl/>
      <w:tabs>
        <w:tab w:val="left" w:pos="993"/>
      </w:tabs>
      <w:adjustRightInd w:val="0"/>
      <w:snapToGrid w:val="0"/>
      <w:spacing w:before="0" w:afterLines="50" w:line="360" w:lineRule="auto"/>
    </w:pPr>
    <w:rPr>
      <w:rFonts w:ascii="宋体" w:hAnsi="宋体" w:eastAsia="宋体" w:cs="Times"/>
      <w:bCs w:val="0"/>
      <w:kern w:val="0"/>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oter" Target="footer25.xml"/><Relationship Id="rId28" Type="http://schemas.openxmlformats.org/officeDocument/2006/relationships/header" Target="header2.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122</Pages>
  <Words>18734</Words>
  <Characters>20166</Characters>
  <Lines>0</Lines>
  <Paragraphs>0</Paragraphs>
  <TotalTime>101</TotalTime>
  <ScaleCrop>false</ScaleCrop>
  <LinksUpToDate>false</LinksUpToDate>
  <CharactersWithSpaces>21691</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2024-04-01T01:00:00Z</dcterms:created>
  <dc:creator>  茜.</dc:creator>
  <cp:lastModifiedBy>Administrator</cp:lastModifiedBy>
  <cp:lastPrinted>2024-09-19T09:45:00Z</cp:lastPrinted>
  <dcterms:modified xsi:type="dcterms:W3CDTF">2024-09-30T05:18:25Z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5895B90EFFBE468CBF9F84CEF42ABFE3_13</vt:lpwstr>
  </property>
</Properties>
</file>